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工商管理（120200）</w:t>
      </w:r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  <w:t>本学科起源于1952年的水利水电管理专业方向，于1993年获批为技术经济及管理硕士学位授权点、1998年技术经济及管理获批为博士学位授权点、新增了企业管理硕士学位授权点，2003年新增了会计学硕士学位授权点、MBA专业学位硕士授权以及工商管理博士后流动站。2006年工商管理一级学科博士学位授予权点获批，本学科步入了新的发展历史阶段，2007 年技术经济及管理被评为国家重点(培育)学科、2010年新增MPAcc专业学位硕士授权，2011年我校工商管理学科成为江苏省重点一级学科、2014年技术经济管理进入江苏省重点序列学科，2016年教育部第四轮学科评估位列B+，位列全国前20%。本学科坚持主流与特色的发展路径，在国家重点实验室、国家工程中心拥有具有全国影响力的水经济管理研究方向，拥有江苏省高校协同创新中心等省部级科研平台16 个，建设有大数据中心和云平台教学实验室、商务数据实验室、竞争情报实验室、管理行为实验室等前沿研究平台，理论和实践研究方面在相关行业和区域处于领先优势。承担国家社科基金重大项目、国家重点研发计划、国家科技支撑计划项目等国家省部级基金项目100项以上，现有各类国家级和省部级专家人才数十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1DB29E9"/>
    <w:rsid w:val="12F92178"/>
    <w:rsid w:val="21022176"/>
    <w:rsid w:val="21720FC4"/>
    <w:rsid w:val="23441BE4"/>
    <w:rsid w:val="236572F6"/>
    <w:rsid w:val="26132583"/>
    <w:rsid w:val="291134A7"/>
    <w:rsid w:val="29C258FF"/>
    <w:rsid w:val="2C5A0FE5"/>
    <w:rsid w:val="3208175D"/>
    <w:rsid w:val="3ADE1B38"/>
    <w:rsid w:val="583A10E7"/>
    <w:rsid w:val="5E7269EE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