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黑体" w:cs="Times New Roman"/>
          <w:sz w:val="32"/>
          <w:szCs w:val="32"/>
        </w:rPr>
      </w:pPr>
      <w:r>
        <w:rPr>
          <w:rFonts w:ascii="Times New Roman" w:hAnsi="Times New Roman" w:eastAsia="黑体" w:cs="Times New Roman"/>
          <w:sz w:val="32"/>
          <w:szCs w:val="32"/>
        </w:rPr>
        <w:t>关于做好学位授权点周期性合格评估近期相关工作的通知</w:t>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院内各单位：</w:t>
      </w:r>
    </w:p>
    <w:p>
      <w:pPr>
        <w:spacing w:line="360" w:lineRule="auto"/>
        <w:ind w:firstLine="480" w:firstLineChars="200"/>
        <w:rPr>
          <w:rFonts w:ascii="Times New Roman" w:hAnsi="Times New Roman" w:cs="Times New Roman"/>
          <w:sz w:val="28"/>
          <w:szCs w:val="28"/>
        </w:rPr>
      </w:pPr>
      <w:r>
        <w:rPr>
          <w:rFonts w:hint="eastAsia" w:asciiTheme="minorEastAsia" w:hAnsiTheme="minorEastAsia" w:cstheme="minorEastAsia"/>
          <w:sz w:val="24"/>
          <w:szCs w:val="24"/>
        </w:rPr>
        <w:t>按照学位[2020]25号、学位[2020]26号、河海校科教[2021]12号、河海校科教[2021]18号、河海研[2021]48号文件的要求，根据学校的工作安排，现就学位授权点周期性合格评估的有关重要工作通知如下。</w:t>
      </w:r>
    </w:p>
    <w:p>
      <w:pPr>
        <w:numPr>
          <w:ilvl w:val="0"/>
          <w:numId w:val="1"/>
        </w:numPr>
        <w:spacing w:line="360" w:lineRule="auto"/>
        <w:ind w:firstLine="482" w:firstLineChars="200"/>
        <w:rPr>
          <w:rFonts w:ascii="Times New Roman" w:hAnsi="Times New Roman" w:cs="Times New Roman"/>
          <w:b/>
          <w:sz w:val="24"/>
          <w:szCs w:val="24"/>
        </w:rPr>
      </w:pPr>
      <w:r>
        <w:rPr>
          <w:rFonts w:ascii="Times New Roman" w:hAnsi="Times New Roman" w:cs="Times New Roman"/>
          <w:b/>
          <w:sz w:val="24"/>
          <w:szCs w:val="24"/>
        </w:rPr>
        <w:t>评估范围</w:t>
      </w:r>
    </w:p>
    <w:tbl>
      <w:tblPr>
        <w:tblStyle w:val="5"/>
        <w:tblW w:w="9222" w:type="dxa"/>
        <w:jc w:val="center"/>
        <w:tblLayout w:type="autofit"/>
        <w:tblCellMar>
          <w:top w:w="0" w:type="dxa"/>
          <w:left w:w="0" w:type="dxa"/>
          <w:bottom w:w="0" w:type="dxa"/>
          <w:right w:w="0" w:type="dxa"/>
        </w:tblCellMar>
      </w:tblPr>
      <w:tblGrid>
        <w:gridCol w:w="591"/>
        <w:gridCol w:w="1062"/>
        <w:gridCol w:w="867"/>
        <w:gridCol w:w="1117"/>
        <w:gridCol w:w="1683"/>
        <w:gridCol w:w="1100"/>
        <w:gridCol w:w="1483"/>
        <w:gridCol w:w="1319"/>
      </w:tblGrid>
      <w:tr>
        <w:tblPrEx>
          <w:tblCellMar>
            <w:top w:w="0" w:type="dxa"/>
            <w:left w:w="0" w:type="dxa"/>
            <w:bottom w:w="0" w:type="dxa"/>
            <w:right w:w="0" w:type="dxa"/>
          </w:tblCellMar>
        </w:tblPrEx>
        <w:trPr>
          <w:trHeight w:val="48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序号</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单位名称</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单位代码</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学科（类别）代码</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学科（类别）名称</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授权级别码</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授权级别名称</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是否确认参加本轮合格评估</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1</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1201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管理科学与工程</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11</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博一</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1202</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工商管理</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11</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博一</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3</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0201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理论经济学</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21</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硕一</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4</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0202</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应用经济学</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21</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硕一</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5</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1251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工商管理</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23</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硕士专业学位</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6</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0251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金融</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23</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硕士专业学位</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7</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0254</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国际商务</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23</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硕士专业学位</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8</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0256</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资产评估</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23</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硕士专业学位</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9</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1253</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会计</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23</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硕士专业学位</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r>
        <w:tblPrEx>
          <w:tblCellMar>
            <w:top w:w="0" w:type="dxa"/>
            <w:left w:w="0" w:type="dxa"/>
            <w:bottom w:w="0" w:type="dxa"/>
            <w:right w:w="0" w:type="dxa"/>
          </w:tblCellMar>
        </w:tblPrEx>
        <w:trPr>
          <w:trHeight w:val="320" w:hRule="atLeast"/>
          <w:jc w:val="center"/>
        </w:trPr>
        <w:tc>
          <w:tcPr>
            <w:tcW w:w="5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河海大学</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10294</w:t>
            </w:r>
          </w:p>
        </w:tc>
        <w:tc>
          <w:tcPr>
            <w:tcW w:w="11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1256</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工程管理</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23</w:t>
            </w:r>
          </w:p>
        </w:tc>
        <w:tc>
          <w:tcPr>
            <w:tcW w:w="14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硕士专业学位</w:t>
            </w:r>
          </w:p>
        </w:tc>
        <w:tc>
          <w:tcPr>
            <w:tcW w:w="1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是</w:t>
            </w:r>
          </w:p>
        </w:tc>
      </w:tr>
    </w:tbl>
    <w:p>
      <w:pPr>
        <w:tabs>
          <w:tab w:val="right" w:pos="9524"/>
        </w:tabs>
        <w:spacing w:line="360" w:lineRule="auto"/>
        <w:ind w:firstLine="482" w:firstLineChars="200"/>
        <w:rPr>
          <w:rFonts w:ascii="Times New Roman" w:hAnsi="Times New Roman" w:cs="Times New Roman"/>
          <w:b/>
          <w:sz w:val="24"/>
          <w:szCs w:val="24"/>
        </w:rPr>
      </w:pPr>
      <w:r>
        <w:rPr>
          <w:rFonts w:ascii="Times New Roman" w:hAnsi="Times New Roman" w:cs="Times New Roman"/>
          <w:b/>
          <w:sz w:val="24"/>
          <w:szCs w:val="24"/>
        </w:rPr>
        <w:t>二、相关材料</w:t>
      </w:r>
    </w:p>
    <w:p>
      <w:pPr>
        <w:tabs>
          <w:tab w:val="right" w:pos="9524"/>
        </w:tabs>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1、附件1：学位授权点自我评估实施细则（2020-2025）</w:t>
      </w:r>
    </w:p>
    <w:p>
      <w:pPr>
        <w:tabs>
          <w:tab w:val="right" w:pos="9524"/>
        </w:tabs>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2、附件2：学位授权点建设年度报告（2021）</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3、附件3：博士学位授权点基本状态信息表（2020-2021）</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4、附件4：硕士学位授权点基本状态信息表（2020-2021）</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5、附件5：专业学位授权点基本状态信息表（2020-2021）</w:t>
      </w:r>
    </w:p>
    <w:p>
      <w:pPr>
        <w:tabs>
          <w:tab w:val="right" w:pos="9524"/>
        </w:tabs>
        <w:spacing w:line="360" w:lineRule="auto"/>
        <w:ind w:firstLine="482" w:firstLineChars="200"/>
        <w:rPr>
          <w:rFonts w:ascii="Times New Roman" w:hAnsi="Times New Roman" w:cs="Times New Roman"/>
          <w:b/>
          <w:sz w:val="24"/>
          <w:szCs w:val="24"/>
        </w:rPr>
      </w:pPr>
      <w:r>
        <w:rPr>
          <w:rFonts w:hint="eastAsia" w:ascii="Times New Roman" w:hAnsi="Times New Roman" w:cs="Times New Roman"/>
          <w:b/>
          <w:sz w:val="24"/>
          <w:szCs w:val="24"/>
        </w:rPr>
        <w:t>三、</w:t>
      </w:r>
      <w:r>
        <w:rPr>
          <w:rFonts w:ascii="Times New Roman" w:hAnsi="Times New Roman" w:cs="Times New Roman"/>
          <w:b/>
          <w:sz w:val="24"/>
          <w:szCs w:val="24"/>
        </w:rPr>
        <w:t>工作安排</w:t>
      </w:r>
    </w:p>
    <w:tbl>
      <w:tblPr>
        <w:tblStyle w:val="6"/>
        <w:tblW w:w="10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660"/>
        <w:gridCol w:w="5280"/>
        <w:gridCol w:w="2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blHeader/>
        </w:trPr>
        <w:tc>
          <w:tcPr>
            <w:tcW w:w="680" w:type="dxa"/>
            <w:vAlign w:val="center"/>
          </w:tcPr>
          <w:p>
            <w:pPr>
              <w:tabs>
                <w:tab w:val="right" w:pos="9524"/>
              </w:tabs>
              <w:spacing w:line="360" w:lineRule="auto"/>
              <w:jc w:val="center"/>
              <w:rPr>
                <w:rFonts w:ascii="Times New Roman" w:hAnsi="Times New Roman" w:cs="Times New Roman"/>
                <w:b/>
                <w:szCs w:val="21"/>
              </w:rPr>
            </w:pPr>
            <w:r>
              <w:rPr>
                <w:rFonts w:ascii="Times New Roman" w:hAnsi="Times New Roman" w:cs="Times New Roman"/>
                <w:b/>
                <w:szCs w:val="21"/>
              </w:rPr>
              <w:t>序号</w:t>
            </w:r>
          </w:p>
        </w:tc>
        <w:tc>
          <w:tcPr>
            <w:tcW w:w="1660" w:type="dxa"/>
            <w:vAlign w:val="center"/>
          </w:tcPr>
          <w:p>
            <w:pPr>
              <w:tabs>
                <w:tab w:val="right" w:pos="9524"/>
              </w:tabs>
              <w:spacing w:line="360" w:lineRule="auto"/>
              <w:jc w:val="center"/>
              <w:rPr>
                <w:rFonts w:ascii="Times New Roman" w:hAnsi="Times New Roman" w:cs="Times New Roman"/>
                <w:b/>
                <w:szCs w:val="21"/>
              </w:rPr>
            </w:pPr>
            <w:r>
              <w:rPr>
                <w:rFonts w:ascii="Times New Roman" w:hAnsi="Times New Roman" w:cs="Times New Roman"/>
                <w:b/>
                <w:szCs w:val="21"/>
              </w:rPr>
              <w:t>时间</w:t>
            </w:r>
          </w:p>
        </w:tc>
        <w:tc>
          <w:tcPr>
            <w:tcW w:w="5280" w:type="dxa"/>
            <w:vAlign w:val="center"/>
          </w:tcPr>
          <w:p>
            <w:pPr>
              <w:tabs>
                <w:tab w:val="right" w:pos="9524"/>
              </w:tabs>
              <w:spacing w:line="360" w:lineRule="auto"/>
              <w:jc w:val="center"/>
              <w:rPr>
                <w:rFonts w:ascii="Times New Roman" w:hAnsi="Times New Roman" w:cs="Times New Roman"/>
                <w:b/>
                <w:szCs w:val="21"/>
              </w:rPr>
            </w:pPr>
            <w:r>
              <w:rPr>
                <w:rFonts w:ascii="Times New Roman" w:hAnsi="Times New Roman" w:cs="Times New Roman"/>
                <w:b/>
                <w:szCs w:val="21"/>
              </w:rPr>
              <w:t>事项</w:t>
            </w:r>
          </w:p>
        </w:tc>
        <w:tc>
          <w:tcPr>
            <w:tcW w:w="2760" w:type="dxa"/>
            <w:vAlign w:val="center"/>
          </w:tcPr>
          <w:p>
            <w:pPr>
              <w:tabs>
                <w:tab w:val="right" w:pos="9524"/>
              </w:tabs>
              <w:spacing w:line="360" w:lineRule="auto"/>
              <w:jc w:val="center"/>
              <w:rPr>
                <w:rFonts w:ascii="Times New Roman" w:hAnsi="Times New Roman" w:cs="Times New Roman"/>
                <w:b/>
                <w:szCs w:val="21"/>
              </w:rPr>
            </w:pPr>
            <w:r>
              <w:rPr>
                <w:rFonts w:ascii="Times New Roman" w:hAnsi="Times New Roman" w:cs="Times New Roman"/>
                <w:b/>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trPr>
        <w:tc>
          <w:tcPr>
            <w:tcW w:w="6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1</w:t>
            </w:r>
          </w:p>
        </w:tc>
        <w:tc>
          <w:tcPr>
            <w:tcW w:w="16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2021.10.25</w:t>
            </w: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工作部署、任务分配</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exact"/>
        </w:trPr>
        <w:tc>
          <w:tcPr>
            <w:tcW w:w="680" w:type="dxa"/>
            <w:vMerge w:val="restart"/>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w:t>
            </w:r>
          </w:p>
        </w:tc>
        <w:tc>
          <w:tcPr>
            <w:tcW w:w="1660" w:type="dxa"/>
            <w:vMerge w:val="restart"/>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2021.10.26-</w:t>
            </w:r>
          </w:p>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2021.11.26</w:t>
            </w: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完成各条块内容、数据梳理，填报系统</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制度文件完备、数据准确详实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80" w:type="dxa"/>
            <w:vMerge w:val="continue"/>
            <w:vAlign w:val="center"/>
          </w:tcPr>
          <w:p>
            <w:pPr>
              <w:widowControl/>
              <w:jc w:val="center"/>
              <w:textAlignment w:val="center"/>
              <w:rPr>
                <w:rFonts w:ascii="Times New Roman" w:hAnsi="Times New Roman" w:eastAsia="宋体" w:cs="Times New Roman"/>
                <w:kern w:val="0"/>
                <w:sz w:val="20"/>
                <w:szCs w:val="20"/>
                <w:lang w:bidi="ar"/>
              </w:rPr>
            </w:pPr>
          </w:p>
        </w:tc>
        <w:tc>
          <w:tcPr>
            <w:tcW w:w="1660" w:type="dxa"/>
            <w:vMerge w:val="continue"/>
            <w:vAlign w:val="center"/>
          </w:tcPr>
          <w:p>
            <w:pPr>
              <w:widowControl/>
              <w:jc w:val="left"/>
              <w:textAlignment w:val="center"/>
              <w:rPr>
                <w:rFonts w:ascii="Times New Roman" w:hAnsi="Times New Roman" w:eastAsia="宋体" w:cs="Times New Roman"/>
                <w:kern w:val="0"/>
                <w:sz w:val="20"/>
                <w:szCs w:val="20"/>
                <w:lang w:bidi="ar"/>
              </w:rPr>
            </w:pP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完成学位授权点自我评估实施细则</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按学校要求执行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exact"/>
        </w:trPr>
        <w:tc>
          <w:tcPr>
            <w:tcW w:w="6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3</w:t>
            </w:r>
          </w:p>
        </w:tc>
        <w:tc>
          <w:tcPr>
            <w:tcW w:w="16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时间待定</w:t>
            </w: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学位授权点自我评估实施细则提交学位评定分委员会审议</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6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4</w:t>
            </w:r>
          </w:p>
        </w:tc>
        <w:tc>
          <w:tcPr>
            <w:tcW w:w="16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2021.12.15</w:t>
            </w: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《学位授权点自我评估实施细则》提交研究生院</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exact"/>
        </w:trPr>
        <w:tc>
          <w:tcPr>
            <w:tcW w:w="6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5</w:t>
            </w:r>
          </w:p>
        </w:tc>
        <w:tc>
          <w:tcPr>
            <w:tcW w:w="16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2021.12.31</w:t>
            </w: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《学位授权点建设年度报告》提交研究生院</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6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6</w:t>
            </w:r>
          </w:p>
        </w:tc>
        <w:tc>
          <w:tcPr>
            <w:tcW w:w="166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2021.12.31左右</w:t>
            </w:r>
          </w:p>
        </w:tc>
        <w:tc>
          <w:tcPr>
            <w:tcW w:w="5280" w:type="dxa"/>
            <w:vAlign w:val="center"/>
          </w:tcPr>
          <w:p>
            <w:pPr>
              <w:widowControl/>
              <w:jc w:val="left"/>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《基本状态信息表》提交系统</w:t>
            </w:r>
          </w:p>
        </w:tc>
        <w:tc>
          <w:tcPr>
            <w:tcW w:w="2760" w:type="dxa"/>
            <w:vAlign w:val="center"/>
          </w:tcPr>
          <w:p>
            <w:pPr>
              <w:widowControl/>
              <w:jc w:val="left"/>
              <w:textAlignment w:val="center"/>
              <w:rPr>
                <w:rFonts w:ascii="Times New Roman" w:hAnsi="Times New Roman" w:eastAsia="宋体" w:cs="Times New Roman"/>
                <w:kern w:val="0"/>
                <w:sz w:val="20"/>
                <w:szCs w:val="20"/>
                <w:lang w:bidi="ar"/>
              </w:rPr>
            </w:pPr>
          </w:p>
        </w:tc>
      </w:tr>
    </w:tbl>
    <w:p>
      <w:pPr>
        <w:tabs>
          <w:tab w:val="right" w:pos="9524"/>
        </w:tabs>
        <w:ind w:firstLine="482" w:firstLineChars="200"/>
        <w:rPr>
          <w:rFonts w:ascii="Times New Roman" w:hAnsi="Times New Roman" w:cs="Times New Roman"/>
          <w:b/>
          <w:sz w:val="24"/>
          <w:szCs w:val="24"/>
        </w:rPr>
      </w:pPr>
    </w:p>
    <w:p>
      <w:pPr>
        <w:numPr>
          <w:ilvl w:val="0"/>
          <w:numId w:val="2"/>
        </w:numPr>
        <w:tabs>
          <w:tab w:val="right" w:pos="9524"/>
        </w:tabs>
        <w:ind w:firstLine="482" w:firstLineChars="200"/>
        <w:rPr>
          <w:rFonts w:ascii="Times New Roman" w:hAnsi="Times New Roman" w:cs="Times New Roman"/>
          <w:b/>
          <w:sz w:val="24"/>
          <w:szCs w:val="24"/>
        </w:rPr>
      </w:pPr>
      <w:r>
        <w:rPr>
          <w:rFonts w:ascii="Times New Roman" w:hAnsi="Times New Roman" w:cs="Times New Roman"/>
          <w:b/>
          <w:sz w:val="24"/>
          <w:szCs w:val="24"/>
        </w:rPr>
        <w:t>学位授权点评估</w:t>
      </w:r>
      <w:r>
        <w:rPr>
          <w:rFonts w:hint="eastAsia" w:ascii="Times New Roman" w:hAnsi="Times New Roman" w:cs="Times New Roman"/>
          <w:b/>
          <w:sz w:val="24"/>
          <w:szCs w:val="24"/>
          <w:lang w:eastAsia="zh-CN"/>
        </w:rPr>
        <w:t>工作</w:t>
      </w:r>
      <w:bookmarkStart w:id="0" w:name="_GoBack"/>
      <w:bookmarkEnd w:id="0"/>
      <w:r>
        <w:rPr>
          <w:rFonts w:ascii="Times New Roman" w:hAnsi="Times New Roman" w:cs="Times New Roman"/>
          <w:b/>
          <w:sz w:val="24"/>
          <w:szCs w:val="24"/>
        </w:rPr>
        <w:t>小组成员名单</w:t>
      </w:r>
    </w:p>
    <w:p>
      <w:pPr>
        <w:tabs>
          <w:tab w:val="right" w:pos="9524"/>
        </w:tabs>
        <w:rPr>
          <w:rFonts w:ascii="Times New Roman" w:hAnsi="Times New Roman" w:cs="Times New Roman"/>
          <w:b/>
          <w:sz w:val="24"/>
          <w:szCs w:val="24"/>
        </w:rPr>
      </w:pPr>
    </w:p>
    <w:tbl>
      <w:tblPr>
        <w:tblStyle w:val="6"/>
        <w:tblW w:w="7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880"/>
        <w:gridCol w:w="1180"/>
        <w:gridCol w:w="1100"/>
        <w:gridCol w:w="2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tabs>
                <w:tab w:val="right" w:pos="9524"/>
              </w:tabs>
              <w:spacing w:line="340" w:lineRule="exact"/>
              <w:jc w:val="center"/>
              <w:rPr>
                <w:rFonts w:ascii="Times New Roman" w:hAnsi="Times New Roman" w:cs="Times New Roman"/>
                <w:b/>
                <w:sz w:val="20"/>
                <w:szCs w:val="20"/>
              </w:rPr>
            </w:pPr>
            <w:r>
              <w:rPr>
                <w:rFonts w:ascii="Times New Roman" w:hAnsi="Times New Roman" w:cs="Times New Roman"/>
                <w:b/>
                <w:sz w:val="20"/>
                <w:szCs w:val="20"/>
              </w:rPr>
              <w:t>序号</w:t>
            </w:r>
          </w:p>
        </w:tc>
        <w:tc>
          <w:tcPr>
            <w:tcW w:w="1880" w:type="dxa"/>
            <w:vAlign w:val="center"/>
          </w:tcPr>
          <w:p>
            <w:pPr>
              <w:tabs>
                <w:tab w:val="right" w:pos="9524"/>
              </w:tabs>
              <w:spacing w:line="340" w:lineRule="exact"/>
              <w:jc w:val="center"/>
              <w:rPr>
                <w:rFonts w:ascii="Times New Roman" w:hAnsi="Times New Roman" w:cs="Times New Roman"/>
                <w:b/>
                <w:sz w:val="20"/>
                <w:szCs w:val="20"/>
              </w:rPr>
            </w:pPr>
            <w:r>
              <w:rPr>
                <w:rFonts w:ascii="Times New Roman" w:hAnsi="Times New Roman" w:cs="Times New Roman"/>
                <w:b/>
                <w:sz w:val="20"/>
                <w:szCs w:val="20"/>
              </w:rPr>
              <w:t>学位授权学科名称</w:t>
            </w:r>
          </w:p>
        </w:tc>
        <w:tc>
          <w:tcPr>
            <w:tcW w:w="1180" w:type="dxa"/>
            <w:vAlign w:val="center"/>
          </w:tcPr>
          <w:p>
            <w:pPr>
              <w:tabs>
                <w:tab w:val="right" w:pos="9524"/>
              </w:tabs>
              <w:jc w:val="center"/>
              <w:rPr>
                <w:rFonts w:ascii="Times New Roman" w:hAnsi="Times New Roman" w:cs="Times New Roman"/>
                <w:b/>
                <w:sz w:val="20"/>
                <w:szCs w:val="20"/>
              </w:rPr>
            </w:pPr>
            <w:r>
              <w:rPr>
                <w:rFonts w:ascii="Times New Roman" w:hAnsi="Times New Roman" w:cs="Times New Roman"/>
                <w:b/>
                <w:sz w:val="20"/>
                <w:szCs w:val="20"/>
              </w:rPr>
              <w:t>负责人</w:t>
            </w:r>
          </w:p>
        </w:tc>
        <w:tc>
          <w:tcPr>
            <w:tcW w:w="1100" w:type="dxa"/>
            <w:vAlign w:val="center"/>
          </w:tcPr>
          <w:p>
            <w:pPr>
              <w:tabs>
                <w:tab w:val="right" w:pos="9524"/>
              </w:tabs>
              <w:jc w:val="center"/>
              <w:rPr>
                <w:rFonts w:ascii="Times New Roman" w:hAnsi="Times New Roman" w:cs="Times New Roman"/>
                <w:b/>
                <w:sz w:val="20"/>
                <w:szCs w:val="20"/>
              </w:rPr>
            </w:pPr>
            <w:r>
              <w:rPr>
                <w:rFonts w:ascii="Times New Roman" w:hAnsi="Times New Roman" w:cs="Times New Roman"/>
                <w:b/>
                <w:sz w:val="20"/>
                <w:szCs w:val="20"/>
              </w:rPr>
              <w:t>组长</w:t>
            </w:r>
          </w:p>
        </w:tc>
        <w:tc>
          <w:tcPr>
            <w:tcW w:w="2300" w:type="dxa"/>
            <w:vAlign w:val="center"/>
          </w:tcPr>
          <w:p>
            <w:pPr>
              <w:tabs>
                <w:tab w:val="right" w:pos="9524"/>
              </w:tabs>
              <w:jc w:val="center"/>
              <w:rPr>
                <w:rFonts w:ascii="Times New Roman" w:hAnsi="Times New Roman" w:cs="Times New Roman"/>
                <w:b/>
                <w:sz w:val="20"/>
                <w:szCs w:val="20"/>
              </w:rPr>
            </w:pPr>
            <w:r>
              <w:rPr>
                <w:rFonts w:ascii="Times New Roman" w:hAnsi="Times New Roman" w:cs="Times New Roman"/>
                <w:b/>
                <w:sz w:val="20"/>
                <w:szCs w:val="20"/>
              </w:rPr>
              <w:t>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1</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管理科学与工程</w:t>
            </w:r>
          </w:p>
        </w:tc>
        <w:tc>
          <w:tcPr>
            <w:tcW w:w="1180" w:type="dxa"/>
            <w:vMerge w:val="restart"/>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周海炜</w:t>
            </w: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庞庆华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张可、薛松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2</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工商管理</w:t>
            </w:r>
          </w:p>
        </w:tc>
        <w:tc>
          <w:tcPr>
            <w:tcW w:w="1180" w:type="dxa"/>
            <w:vMerge w:val="continue"/>
            <w:vAlign w:val="center"/>
          </w:tcPr>
          <w:p>
            <w:pPr>
              <w:widowControl/>
              <w:jc w:val="center"/>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唐震</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贾琼、张恒杰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3</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理论经济学</w:t>
            </w:r>
          </w:p>
        </w:tc>
        <w:tc>
          <w:tcPr>
            <w:tcW w:w="1180" w:type="dxa"/>
            <w:vMerge w:val="continue"/>
            <w:vAlign w:val="center"/>
          </w:tcPr>
          <w:p>
            <w:pPr>
              <w:widowControl/>
              <w:jc w:val="center"/>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田贵良</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符磊、吴兆丹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4</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应用经济学</w:t>
            </w:r>
          </w:p>
        </w:tc>
        <w:tc>
          <w:tcPr>
            <w:tcW w:w="1180" w:type="dxa"/>
            <w:vMerge w:val="continue"/>
            <w:vAlign w:val="center"/>
          </w:tcPr>
          <w:p>
            <w:pPr>
              <w:widowControl/>
              <w:jc w:val="center"/>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hint="eastAsia" w:ascii="Times New Roman" w:hAnsi="Times New Roman" w:eastAsia="宋体" w:cs="Times New Roman"/>
                <w:kern w:val="0"/>
                <w:sz w:val="20"/>
                <w:szCs w:val="20"/>
                <w:lang w:eastAsia="zh-CN" w:bidi="ar"/>
              </w:rPr>
            </w:pPr>
            <w:r>
              <w:rPr>
                <w:rFonts w:hint="eastAsia" w:ascii="Times New Roman" w:hAnsi="Times New Roman" w:eastAsia="宋体" w:cs="Times New Roman"/>
                <w:kern w:val="0"/>
                <w:sz w:val="20"/>
                <w:szCs w:val="20"/>
                <w:lang w:eastAsia="zh-CN" w:bidi="ar"/>
              </w:rPr>
              <w:t>黄德春</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朱艳丽、李祎雯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5</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工商管理</w:t>
            </w:r>
          </w:p>
        </w:tc>
        <w:tc>
          <w:tcPr>
            <w:tcW w:w="1180" w:type="dxa"/>
            <w:vMerge w:val="restart"/>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张长征</w:t>
            </w: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李明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6</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金融</w:t>
            </w:r>
          </w:p>
        </w:tc>
        <w:tc>
          <w:tcPr>
            <w:tcW w:w="1180" w:type="dxa"/>
            <w:vMerge w:val="continue"/>
          </w:tcPr>
          <w:p>
            <w:pPr>
              <w:widowControl/>
              <w:jc w:val="left"/>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李明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7</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国际商务</w:t>
            </w:r>
          </w:p>
        </w:tc>
        <w:tc>
          <w:tcPr>
            <w:tcW w:w="1180" w:type="dxa"/>
            <w:vMerge w:val="continue"/>
          </w:tcPr>
          <w:p>
            <w:pPr>
              <w:widowControl/>
              <w:jc w:val="left"/>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李明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8</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资产评估</w:t>
            </w:r>
          </w:p>
        </w:tc>
        <w:tc>
          <w:tcPr>
            <w:tcW w:w="1180" w:type="dxa"/>
            <w:vMerge w:val="continue"/>
          </w:tcPr>
          <w:p>
            <w:pPr>
              <w:widowControl/>
              <w:jc w:val="left"/>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李明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9</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会计</w:t>
            </w:r>
          </w:p>
        </w:tc>
        <w:tc>
          <w:tcPr>
            <w:tcW w:w="1180" w:type="dxa"/>
            <w:vMerge w:val="continue"/>
          </w:tcPr>
          <w:p>
            <w:pPr>
              <w:widowControl/>
              <w:jc w:val="left"/>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李明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10</w:t>
            </w:r>
          </w:p>
        </w:tc>
        <w:tc>
          <w:tcPr>
            <w:tcW w:w="188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工程管理</w:t>
            </w:r>
          </w:p>
        </w:tc>
        <w:tc>
          <w:tcPr>
            <w:tcW w:w="1180" w:type="dxa"/>
            <w:vMerge w:val="continue"/>
          </w:tcPr>
          <w:p>
            <w:pPr>
              <w:widowControl/>
              <w:jc w:val="left"/>
              <w:textAlignment w:val="center"/>
              <w:rPr>
                <w:rFonts w:ascii="Times New Roman" w:hAnsi="Times New Roman" w:eastAsia="宋体" w:cs="Times New Roman"/>
                <w:kern w:val="0"/>
                <w:sz w:val="20"/>
                <w:szCs w:val="20"/>
                <w:lang w:bidi="ar"/>
              </w:rPr>
            </w:pPr>
          </w:p>
        </w:tc>
        <w:tc>
          <w:tcPr>
            <w:tcW w:w="1100" w:type="dxa"/>
            <w:vAlign w:val="center"/>
          </w:tcPr>
          <w:p>
            <w:pPr>
              <w:widowControl/>
              <w:jc w:val="center"/>
              <w:textAlignment w:val="center"/>
              <w:rPr>
                <w:rFonts w:ascii="Times New Roman" w:hAnsi="Times New Roman" w:eastAsia="宋体" w:cs="Times New Roman"/>
                <w:kern w:val="0"/>
                <w:sz w:val="20"/>
                <w:szCs w:val="20"/>
                <w:lang w:bidi="ar"/>
              </w:rPr>
            </w:pPr>
            <w:r>
              <w:rPr>
                <w:rFonts w:ascii="Times New Roman" w:hAnsi="Times New Roman" w:eastAsia="宋体" w:cs="Times New Roman"/>
                <w:kern w:val="0"/>
                <w:sz w:val="20"/>
                <w:szCs w:val="20"/>
                <w:lang w:bidi="ar"/>
              </w:rPr>
              <w:t>李明</w:t>
            </w:r>
          </w:p>
        </w:tc>
        <w:tc>
          <w:tcPr>
            <w:tcW w:w="2300" w:type="dxa"/>
            <w:vAlign w:val="center"/>
          </w:tcPr>
          <w:p>
            <w:pPr>
              <w:widowControl/>
              <w:jc w:val="center"/>
              <w:textAlignment w:val="center"/>
              <w:rPr>
                <w:rFonts w:ascii="Times New Roman" w:hAnsi="Times New Roman" w:eastAsia="宋体" w:cs="Times New Roman"/>
                <w:kern w:val="0"/>
                <w:sz w:val="20"/>
                <w:szCs w:val="20"/>
                <w:lang w:bidi="ar"/>
              </w:rPr>
            </w:pPr>
          </w:p>
        </w:tc>
      </w:tr>
    </w:tbl>
    <w:p>
      <w:pPr>
        <w:spacing w:line="420" w:lineRule="exact"/>
        <w:rPr>
          <w:rFonts w:ascii="Times New Roman" w:hAnsi="Times New Roman" w:cs="Times New Roman"/>
          <w:b/>
          <w:sz w:val="24"/>
          <w:szCs w:val="24"/>
        </w:rPr>
      </w:pPr>
    </w:p>
    <w:p>
      <w:pPr>
        <w:spacing w:line="420" w:lineRule="exact"/>
        <w:ind w:firstLine="482" w:firstLineChars="200"/>
        <w:rPr>
          <w:rFonts w:ascii="Times New Roman" w:hAnsi="Times New Roman" w:cs="Times New Roman"/>
          <w:b/>
          <w:sz w:val="24"/>
          <w:szCs w:val="24"/>
        </w:rPr>
      </w:pPr>
      <w:r>
        <w:rPr>
          <w:rFonts w:ascii="Times New Roman" w:hAnsi="Times New Roman" w:cs="Times New Roman"/>
          <w:b/>
          <w:sz w:val="24"/>
          <w:szCs w:val="24"/>
        </w:rPr>
        <w:t>五、学位授权点自我评估实施细则</w:t>
      </w:r>
      <w:r>
        <w:rPr>
          <w:rFonts w:hint="eastAsia" w:ascii="Times New Roman" w:hAnsi="Times New Roman" w:cs="Times New Roman"/>
          <w:b/>
          <w:sz w:val="24"/>
          <w:szCs w:val="24"/>
        </w:rPr>
        <w:t>、学位授权点建设年度报告任务分解（</w:t>
      </w:r>
      <w:r>
        <w:rPr>
          <w:rFonts w:ascii="Times New Roman" w:hAnsi="Times New Roman" w:cs="Times New Roman"/>
          <w:b/>
          <w:sz w:val="24"/>
          <w:szCs w:val="24"/>
        </w:rPr>
        <w:t>附件1</w:t>
      </w:r>
      <w:r>
        <w:rPr>
          <w:rFonts w:hint="eastAsia" w:ascii="Times New Roman" w:hAnsi="Times New Roman" w:cs="Times New Roman"/>
          <w:b/>
          <w:sz w:val="24"/>
          <w:szCs w:val="24"/>
        </w:rPr>
        <w:t>-2）</w:t>
      </w:r>
    </w:p>
    <w:p>
      <w:pPr>
        <w:tabs>
          <w:tab w:val="right" w:pos="9524"/>
        </w:tabs>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1、4个学术</w:t>
      </w:r>
      <w:r>
        <w:rPr>
          <w:rFonts w:hint="eastAsia" w:ascii="Times New Roman" w:hAnsi="Times New Roman" w:cs="Times New Roman"/>
          <w:sz w:val="24"/>
          <w:szCs w:val="24"/>
        </w:rPr>
        <w:t>学位授权点评估小组秘书负责文本撰写、组长负责内容把关。</w:t>
      </w:r>
    </w:p>
    <w:p>
      <w:pPr>
        <w:numPr>
          <w:ilvl w:val="0"/>
          <w:numId w:val="3"/>
        </w:numPr>
        <w:tabs>
          <w:tab w:val="right" w:pos="9524"/>
        </w:tabs>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MBA中心</w:t>
      </w:r>
      <w:r>
        <w:rPr>
          <w:rFonts w:ascii="Times New Roman" w:hAnsi="Times New Roman" w:cs="Times New Roman"/>
          <w:color w:val="auto"/>
          <w:sz w:val="24"/>
          <w:szCs w:val="24"/>
        </w:rPr>
        <w:t>、工程硕士中心负责</w:t>
      </w:r>
      <w:r>
        <w:rPr>
          <w:rFonts w:hint="eastAsia" w:ascii="Times New Roman" w:hAnsi="Times New Roman" w:cs="Times New Roman"/>
          <w:color w:val="auto"/>
          <w:sz w:val="24"/>
          <w:szCs w:val="24"/>
        </w:rPr>
        <w:t>7</w:t>
      </w:r>
      <w:r>
        <w:rPr>
          <w:rFonts w:ascii="Times New Roman" w:hAnsi="Times New Roman" w:cs="Times New Roman"/>
          <w:color w:val="auto"/>
          <w:sz w:val="24"/>
          <w:szCs w:val="24"/>
        </w:rPr>
        <w:t>个专业学位</w:t>
      </w:r>
      <w:r>
        <w:rPr>
          <w:rFonts w:hint="eastAsia" w:ascii="Times New Roman" w:hAnsi="Times New Roman" w:cs="Times New Roman"/>
          <w:color w:val="auto"/>
          <w:sz w:val="24"/>
          <w:szCs w:val="24"/>
        </w:rPr>
        <w:t>授权</w:t>
      </w:r>
      <w:r>
        <w:rPr>
          <w:rFonts w:ascii="Times New Roman" w:hAnsi="Times New Roman" w:cs="Times New Roman"/>
          <w:color w:val="auto"/>
          <w:sz w:val="24"/>
          <w:szCs w:val="24"/>
        </w:rPr>
        <w:t>点</w:t>
      </w:r>
      <w:r>
        <w:rPr>
          <w:rFonts w:hint="eastAsia" w:ascii="Times New Roman" w:hAnsi="Times New Roman" w:cs="Times New Roman"/>
          <w:color w:val="auto"/>
          <w:sz w:val="24"/>
          <w:szCs w:val="24"/>
        </w:rPr>
        <w:t>相关</w:t>
      </w:r>
      <w:r>
        <w:rPr>
          <w:rFonts w:ascii="Times New Roman" w:hAnsi="Times New Roman" w:cs="Times New Roman"/>
          <w:color w:val="auto"/>
          <w:sz w:val="24"/>
          <w:szCs w:val="24"/>
        </w:rPr>
        <w:t>资料</w:t>
      </w:r>
      <w:r>
        <w:rPr>
          <w:rFonts w:hint="eastAsia" w:ascii="Times New Roman" w:hAnsi="Times New Roman" w:cs="Times New Roman"/>
          <w:color w:val="auto"/>
          <w:sz w:val="24"/>
          <w:szCs w:val="24"/>
        </w:rPr>
        <w:t>准备</w:t>
      </w:r>
      <w:r>
        <w:rPr>
          <w:rFonts w:ascii="Times New Roman" w:hAnsi="Times New Roman" w:cs="Times New Roman"/>
          <w:color w:val="auto"/>
          <w:sz w:val="24"/>
          <w:szCs w:val="24"/>
        </w:rPr>
        <w:t>工作，并由分管负责人总体</w:t>
      </w:r>
      <w:r>
        <w:rPr>
          <w:rFonts w:hint="eastAsia" w:ascii="Times New Roman" w:hAnsi="Times New Roman" w:cs="Times New Roman"/>
          <w:color w:val="auto"/>
          <w:sz w:val="24"/>
          <w:szCs w:val="24"/>
        </w:rPr>
        <w:t>文本内容。</w:t>
      </w:r>
    </w:p>
    <w:p>
      <w:pPr>
        <w:numPr>
          <w:ilvl w:val="0"/>
          <w:numId w:val="3"/>
        </w:numPr>
        <w:tabs>
          <w:tab w:val="right" w:pos="9524"/>
        </w:tabs>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各学位点根据《河海大学2020-2025年学位授权点自我评估工作方案》（附件6），结合本学位点实际情况，进一步明确学位点建设目标，制定参评学位授权点自我评估实施细则（含评估指标体系，式样及要求见附件1）。</w:t>
      </w:r>
    </w:p>
    <w:p>
      <w:pPr>
        <w:numPr>
          <w:ilvl w:val="0"/>
          <w:numId w:val="3"/>
        </w:numPr>
        <w:tabs>
          <w:tab w:val="right" w:pos="9524"/>
        </w:tabs>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2021年度《学位授权点建设年度报告》，每个学位点对应一份报告，具体式样及要求见附件2。</w:t>
      </w:r>
    </w:p>
    <w:p>
      <w:pPr>
        <w:tabs>
          <w:tab w:val="right" w:pos="9524"/>
        </w:tabs>
        <w:spacing w:line="360" w:lineRule="auto"/>
        <w:ind w:firstLine="482" w:firstLineChars="200"/>
        <w:rPr>
          <w:rFonts w:ascii="Times New Roman" w:hAnsi="Times New Roman" w:cs="Times New Roman"/>
          <w:b/>
          <w:sz w:val="24"/>
          <w:szCs w:val="24"/>
        </w:rPr>
      </w:pPr>
      <w:r>
        <w:rPr>
          <w:rFonts w:hint="eastAsia" w:ascii="Times New Roman" w:hAnsi="Times New Roman" w:cs="Times New Roman"/>
          <w:b/>
          <w:sz w:val="24"/>
          <w:szCs w:val="24"/>
        </w:rPr>
        <w:t>六、</w:t>
      </w:r>
      <w:r>
        <w:rPr>
          <w:rFonts w:ascii="Times New Roman" w:hAnsi="Times New Roman" w:cs="Times New Roman"/>
          <w:b/>
          <w:sz w:val="24"/>
          <w:szCs w:val="24"/>
        </w:rPr>
        <w:t>学位授权点基本状态信息表填报任务分解（附件3-5）</w:t>
      </w:r>
    </w:p>
    <w:p>
      <w:pPr>
        <w:tabs>
          <w:tab w:val="right" w:pos="9524"/>
        </w:tabs>
        <w:spacing w:line="420" w:lineRule="exact"/>
        <w:ind w:firstLine="482" w:firstLineChars="200"/>
        <w:rPr>
          <w:rFonts w:ascii="Times New Roman" w:hAnsi="Times New Roman" w:cs="Times New Roman"/>
          <w:b/>
          <w:sz w:val="24"/>
          <w:szCs w:val="24"/>
        </w:rPr>
      </w:pPr>
      <w:r>
        <w:rPr>
          <w:rFonts w:ascii="Times New Roman" w:hAnsi="Times New Roman" w:cs="Times New Roman"/>
          <w:b/>
          <w:sz w:val="24"/>
          <w:szCs w:val="24"/>
        </w:rPr>
        <w:t>1、学术学位</w:t>
      </w:r>
    </w:p>
    <w:tbl>
      <w:tblPr>
        <w:tblStyle w:val="5"/>
        <w:tblW w:w="9802" w:type="dxa"/>
        <w:tblInd w:w="98" w:type="dxa"/>
        <w:tblLayout w:type="fixed"/>
        <w:tblCellMar>
          <w:top w:w="0" w:type="dxa"/>
          <w:left w:w="108" w:type="dxa"/>
          <w:bottom w:w="0" w:type="dxa"/>
          <w:right w:w="108" w:type="dxa"/>
        </w:tblCellMar>
      </w:tblPr>
      <w:tblGrid>
        <w:gridCol w:w="6932"/>
        <w:gridCol w:w="2870"/>
      </w:tblGrid>
      <w:tr>
        <w:tblPrEx>
          <w:tblCellMar>
            <w:top w:w="0" w:type="dxa"/>
            <w:left w:w="108" w:type="dxa"/>
            <w:bottom w:w="0" w:type="dxa"/>
            <w:right w:w="108" w:type="dxa"/>
          </w:tblCellMar>
        </w:tblPrEx>
        <w:trPr>
          <w:trHeight w:val="35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列表清单</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负责人</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B01 学位点建设进展</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B0101 建设进展</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B010101 学位点建设进展情况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B0102 目标与标准</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B010201 培养目标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B010202 培养方向与特色</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B010203 学位标准</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 人才培养</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B0201 教书育人</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B020101 导师责任落实情况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B020102 实验室、科研团队等党建情况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王颖</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B020103 科学道德和学术规范教育开展情况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B020104 导师培训情况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B0202 培养过程</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B020201 课程与教学情况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B020202 研究生主要课程开设情况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B020203 国家级教学成果奖（含省部级）</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赵凤香、黄艳</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B020204 给本科生上课的正教授人数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黄艳、施春枫</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B020205 学生国内外竞赛获奖项目</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于陶、伏方霓</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B020206 奖助学金情况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于陶、伏方霓</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B020207 人才培养质量保证情况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张长征、赵凤香</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B020208 管理服务支撑情况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张长征、赵凤香、于陶</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B0203 招生和就业</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B020301 博士招生和学位授予情况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B020302 硕士招生选拔和授予学位情况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赵凤香、戴叶</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B020303 毕业生签约单位类型分布</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史玉莹、伏方霓</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B020304 毕业生在相关领域突出贡献者</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周申蓓、</w:t>
            </w:r>
            <w:r>
              <w:rPr>
                <w:rFonts w:ascii="Times New Roman" w:hAnsi="Times New Roman" w:eastAsia="宋体" w:cs="Times New Roman"/>
                <w:color w:val="000000"/>
                <w:kern w:val="0"/>
                <w:sz w:val="20"/>
                <w:szCs w:val="20"/>
                <w:lang w:bidi="ar"/>
              </w:rPr>
              <w:t>陆汉文</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B0204 国际交流合作</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B020401 来本学位点攻读学位的留学生和交流学者人数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邱翀</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B020402 学生参加本领域国内外重要学术会议情况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于陶、伏方霓、邱翀</w:t>
            </w:r>
          </w:p>
        </w:tc>
      </w:tr>
      <w:tr>
        <w:tblPrEx>
          <w:tblCellMar>
            <w:top w:w="0" w:type="dxa"/>
            <w:left w:w="108" w:type="dxa"/>
            <w:bottom w:w="0" w:type="dxa"/>
            <w:right w:w="108" w:type="dxa"/>
          </w:tblCellMar>
        </w:tblPrEx>
        <w:trPr>
          <w:trHeight w:val="313"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B020403 国家建设高水平大学公派研究生项目人数及国外合作项目选派人数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邱翀</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B0205 可用于本学位点研究生培养的教学/科研支撑</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B020501 仪器设备及实验室情况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姚昌炯、任庆</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B020502 科研平台对本学位点人才培养支撑作用情况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胡兴球、</w:t>
            </w: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B0299 其他情况</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B029901 其他</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B03 师资队伍</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B0301 师德师风建设</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B030101 师德师风建设情况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吴宝海</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B0302 专任教师队伍</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B030201 专任教师数量及结构</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华海玲、孙莉</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B030202 重大重点项目负责人（代表性项目负责人清单）</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B030203 主要学科方向带头人及中青年学术骨干</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华海玲、孙莉</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B030204 博士后和科研助理数量</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华海玲、孙莉</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B030205 外籍专任教师数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邱翀</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B0303 师资队伍国际水平</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B030301 教师担任国内外重要期刊负责人</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华海玲、孙莉</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B030302 教师在国内外重要学术组织任职主要负责人</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华海玲、孙莉</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B030303 教师参加本领域重要学术会议并作报告人员</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邱娅、邱翀</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B030304 教师担任国际比赛评委、裁判人员</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B0399 其他情况</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B039901 其他</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华海玲、孙莉</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B04 科学研究</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B0401 科研获奖与发表</w:t>
            </w:r>
          </w:p>
        </w:tc>
      </w:tr>
      <w:tr>
        <w:tblPrEx>
          <w:tblCellMar>
            <w:top w:w="0" w:type="dxa"/>
            <w:left w:w="108" w:type="dxa"/>
            <w:bottom w:w="0" w:type="dxa"/>
            <w:right w:w="108" w:type="dxa"/>
          </w:tblCellMar>
        </w:tblPrEx>
        <w:trPr>
          <w:trHeight w:val="37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B040101 教师获得的国家自然科学奖、技术发明奖、科技进步奖</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B040102 教师获得的国内外重要奖项</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B040103 专任教师公开出版的专著</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B040104 教师在国内外重要期刊发表的代表性论文</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B0402 科研平台建设</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B040201 牵头建设的国家重大科技创新基地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B040202 牵头建设的部省级重点研究基地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B040203 纵向、横向到校科研经费数</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B040204 主办的国际学术期刊</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胡兴球、</w:t>
            </w: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B0403 国际影响力</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B040301 参与国内外标准制定情况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胡兴球</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B040302 国际合作论文数量</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B0499 其他情况</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B049901 其他</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B05 社会服务</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B0501 成果转化</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B050101 成果转化和咨询服务到校金额</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B0502 智库建设</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B050201 智库建设与咨政研究情况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kern w:val="0"/>
                <w:sz w:val="20"/>
                <w:szCs w:val="20"/>
                <w:lang w:eastAsia="zh-CN" w:bidi="ar"/>
              </w:rPr>
              <w:t>唐震</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B0503 服务社会</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B050301 科教协同育人情况</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张长征</w:t>
            </w:r>
          </w:p>
        </w:tc>
      </w:tr>
      <w:tr>
        <w:tblPrEx>
          <w:tblCellMar>
            <w:top w:w="0" w:type="dxa"/>
            <w:left w:w="108" w:type="dxa"/>
            <w:bottom w:w="0" w:type="dxa"/>
            <w:right w:w="108" w:type="dxa"/>
          </w:tblCellMar>
        </w:tblPrEx>
        <w:trPr>
          <w:trHeight w:val="6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B050302 服务国家战略新兴产业、重大区域发展规划、重大工程、重大科学创新、关键技术突破等标志性成果</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B050303 承担国内外重大设计与展演任务</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B0599 其他情况</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B059901 其他</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693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B99 其他</w:t>
            </w:r>
          </w:p>
        </w:tc>
        <w:tc>
          <w:tcPr>
            <w:tcW w:w="28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bl>
    <w:p>
      <w:pPr>
        <w:tabs>
          <w:tab w:val="right" w:pos="9524"/>
        </w:tabs>
        <w:spacing w:line="420" w:lineRule="exact"/>
        <w:ind w:firstLine="482" w:firstLineChars="200"/>
        <w:rPr>
          <w:rFonts w:ascii="Times New Roman" w:hAnsi="Times New Roman" w:cs="Times New Roman"/>
          <w:b/>
          <w:sz w:val="24"/>
          <w:szCs w:val="24"/>
        </w:rPr>
      </w:pPr>
    </w:p>
    <w:p>
      <w:pPr>
        <w:numPr>
          <w:ilvl w:val="0"/>
          <w:numId w:val="4"/>
        </w:numPr>
        <w:tabs>
          <w:tab w:val="right" w:pos="9524"/>
        </w:tabs>
        <w:spacing w:line="420" w:lineRule="exact"/>
        <w:ind w:firstLine="482" w:firstLineChars="200"/>
        <w:rPr>
          <w:rFonts w:ascii="Times New Roman" w:hAnsi="Times New Roman" w:cs="Times New Roman"/>
          <w:b/>
          <w:sz w:val="24"/>
          <w:szCs w:val="24"/>
        </w:rPr>
      </w:pPr>
      <w:r>
        <w:rPr>
          <w:rFonts w:ascii="Times New Roman" w:hAnsi="Times New Roman" w:cs="Times New Roman"/>
          <w:b/>
          <w:sz w:val="24"/>
          <w:szCs w:val="24"/>
        </w:rPr>
        <w:t>专业学位</w:t>
      </w:r>
    </w:p>
    <w:p>
      <w:pPr>
        <w:numPr>
          <w:ilvl w:val="0"/>
          <w:numId w:val="0"/>
        </w:numPr>
        <w:tabs>
          <w:tab w:val="right" w:pos="9524"/>
        </w:tabs>
        <w:spacing w:line="420" w:lineRule="exact"/>
        <w:ind w:firstLine="482" w:firstLineChars="200"/>
        <w:rPr>
          <w:rFonts w:hint="default" w:ascii="Times New Roman" w:hAnsi="Times New Roman" w:cs="Times New Roman" w:eastAsiaTheme="minorEastAsia"/>
          <w:b/>
          <w:sz w:val="24"/>
          <w:szCs w:val="24"/>
          <w:lang w:val="en-US" w:eastAsia="zh-CN"/>
        </w:rPr>
      </w:pPr>
      <w:r>
        <w:rPr>
          <w:rFonts w:ascii="Times New Roman" w:hAnsi="Times New Roman" w:cs="Times New Roman"/>
          <w:b/>
          <w:bCs/>
          <w:sz w:val="24"/>
          <w:szCs w:val="24"/>
        </w:rPr>
        <w:t>MBA中心、工程硕士中心</w:t>
      </w:r>
      <w:r>
        <w:rPr>
          <w:rFonts w:hint="eastAsia" w:ascii="Times New Roman" w:hAnsi="Times New Roman" w:cs="Times New Roman"/>
          <w:b/>
          <w:bCs/>
          <w:sz w:val="24"/>
          <w:szCs w:val="24"/>
          <w:lang w:eastAsia="zh-CN"/>
        </w:rPr>
        <w:t>负责</w:t>
      </w:r>
      <w:r>
        <w:rPr>
          <w:rFonts w:hint="eastAsia" w:ascii="Times New Roman" w:hAnsi="Times New Roman" w:cs="Times New Roman"/>
          <w:b/>
          <w:bCs/>
          <w:sz w:val="24"/>
          <w:szCs w:val="24"/>
        </w:rPr>
        <w:t>数据填报</w:t>
      </w: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rPr>
        <w:t>开展具体工作。</w:t>
      </w:r>
    </w:p>
    <w:tbl>
      <w:tblPr>
        <w:tblStyle w:val="5"/>
        <w:tblW w:w="9802" w:type="dxa"/>
        <w:tblInd w:w="98" w:type="dxa"/>
        <w:tblLayout w:type="fixed"/>
        <w:tblCellMar>
          <w:top w:w="0" w:type="dxa"/>
          <w:left w:w="108" w:type="dxa"/>
          <w:bottom w:w="0" w:type="dxa"/>
          <w:right w:w="108" w:type="dxa"/>
        </w:tblCellMar>
      </w:tblPr>
      <w:tblGrid>
        <w:gridCol w:w="6922"/>
        <w:gridCol w:w="2880"/>
      </w:tblGrid>
      <w:tr>
        <w:tblPrEx>
          <w:tblCellMar>
            <w:top w:w="0" w:type="dxa"/>
            <w:left w:w="108" w:type="dxa"/>
            <w:bottom w:w="0" w:type="dxa"/>
            <w:right w:w="108" w:type="dxa"/>
          </w:tblCellMar>
        </w:tblPrEx>
        <w:trPr>
          <w:trHeight w:val="404"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列表清单</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负责人</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Z01 学位点建设基本情况</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Z0101 建设进展</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Z010101 学位点建设进展情况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Z0102 目标与标准</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Z010201 培养目标</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Z010202 学位标准</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Z02 人才培养</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Z0201 教书育人</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Z020101 导师责任落实情况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Z020102 科学道德和学术规范教育开展情况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Z020103 导师培训情况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Z0202 培养过程</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Z020201 课程与教学情况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Z020202 研究生主要课程开设情况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Z020203 专业实践基地</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Z020204 教学成果获奖情况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Z020205 校外专家参与的课程或讲座</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Z020206 代表性专业实践活动与成果</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Z020207 学生参加本领域国内外重要赛事情况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伏方霓</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Z020208 奖助学金情况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伏方霓</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Z020209 考取资格证书情况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伏方霓</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Z020210 人才培养质量保证情况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张长征、</w:t>
            </w: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Z020211 管理服务支撑情况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张长征、</w:t>
            </w: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Z0203 招生和就业</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Z020301 博士招生和学位授予情况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Z020302 硕士招生选拔和授予学位情况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Z020303 毕业生签约单位类型分布</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伏方霓</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Z0299 其他情况</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Z029901 其他</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Z03 师资队伍</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Z0301 师德师风建设</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Z030101 师德师风建设的情况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吴宝海</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Z0302 教师队伍</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Z030201 专任教师数量及结构</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Z030202 行业教师数量及结构</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Z0303 师资队伍国际水平</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Z030301 教师在国内外重要学术或行业组织任职情况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Z0399 其他情况</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Z039901 其他</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hint="eastAsia" w:ascii="Times New Roman" w:hAnsi="Times New Roman" w:eastAsia="宋体" w:cs="Times New Roman"/>
                <w:color w:val="000000"/>
                <w:kern w:val="0"/>
                <w:sz w:val="20"/>
                <w:szCs w:val="20"/>
                <w:lang w:eastAsia="zh-CN" w:bidi="ar"/>
              </w:rPr>
              <w:t>沈玲、朱旭</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S04 科学研究</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Z040101 纵向、横向到校科研经费数</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Z040102 教师获得的国内外重要奖项</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Z040103 参与国内外标准制定情况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胡兴球</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Z049901 其他</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Z05 社会服务</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Z050101 成果转化和咨询服务到校金额</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邱娅</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Z050102 智库建设与咨政研究情况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Times New Roman" w:hAnsi="Times New Roman" w:eastAsia="宋体" w:cs="Times New Roman"/>
                <w:color w:val="000000"/>
                <w:sz w:val="20"/>
                <w:szCs w:val="20"/>
                <w:lang w:eastAsia="zh-CN"/>
              </w:rPr>
            </w:pPr>
            <w:r>
              <w:rPr>
                <w:rFonts w:hint="eastAsia" w:ascii="Times New Roman" w:hAnsi="Times New Roman" w:eastAsia="宋体" w:cs="Times New Roman"/>
                <w:color w:val="000000"/>
                <w:kern w:val="0"/>
                <w:sz w:val="20"/>
                <w:szCs w:val="20"/>
                <w:lang w:eastAsia="zh-CN" w:bidi="ar"/>
              </w:rPr>
              <w:t>唐震</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Z050103 产教协同育人情况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张长征</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Z050104 承担国内外重大设计与展演任务</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Z050105 艺术创作设计获奖</w:t>
            </w:r>
          </w:p>
        </w:tc>
        <w:tc>
          <w:tcPr>
            <w:tcW w:w="28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Fonts w:ascii="Times New Roman" w:hAnsi="Times New Roman" w:eastAsia="宋体" w:cs="Times New Roman"/>
                <w:b/>
                <w:bCs/>
                <w:color w:val="000000"/>
                <w:kern w:val="0"/>
                <w:sz w:val="20"/>
                <w:szCs w:val="20"/>
                <w:lang w:bidi="ar"/>
              </w:rPr>
              <w:t>Z0599 其他情况</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r>
        <w:tblPrEx>
          <w:tblCellMar>
            <w:top w:w="0" w:type="dxa"/>
            <w:left w:w="108" w:type="dxa"/>
            <w:bottom w:w="0" w:type="dxa"/>
            <w:right w:w="108" w:type="dxa"/>
          </w:tblCellMar>
        </w:tblPrEx>
        <w:trPr>
          <w:trHeight w:val="300" w:hRule="atLeast"/>
        </w:trPr>
        <w:tc>
          <w:tcPr>
            <w:tcW w:w="692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pPr>
              <w:widowControl/>
              <w:jc w:val="left"/>
              <w:textAlignment w:val="center"/>
              <w:rPr>
                <w:rFonts w:ascii="Times New Roman" w:hAnsi="Times New Roman" w:eastAsia="宋体" w:cs="Times New Roman"/>
                <w:b/>
                <w:bCs/>
                <w:color w:val="000000"/>
                <w:sz w:val="20"/>
                <w:szCs w:val="20"/>
              </w:rPr>
            </w:pPr>
            <w:r>
              <w:rPr>
                <w:rStyle w:val="12"/>
                <w:rFonts w:hint="default" w:ascii="Times New Roman" w:hAnsi="Times New Roman" w:cs="Times New Roman"/>
                <w:sz w:val="20"/>
                <w:szCs w:val="20"/>
                <w:lang w:bidi="ar"/>
              </w:rPr>
              <w:t xml:space="preserve">Z99 </w:t>
            </w:r>
            <w:r>
              <w:rPr>
                <w:rStyle w:val="13"/>
                <w:rFonts w:ascii="Times New Roman" w:hAnsi="Times New Roman" w:cs="Times New Roman"/>
                <w:sz w:val="20"/>
                <w:szCs w:val="20"/>
                <w:lang w:bidi="ar"/>
              </w:rPr>
              <w:t>其他</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各学位授权点评估小组组长</w:t>
            </w:r>
          </w:p>
        </w:tc>
      </w:tr>
    </w:tbl>
    <w:p>
      <w:pPr>
        <w:spacing w:line="420" w:lineRule="exact"/>
        <w:ind w:firstLine="482" w:firstLineChars="200"/>
        <w:rPr>
          <w:rFonts w:ascii="Times New Roman" w:hAnsi="Times New Roman" w:cs="Times New Roman"/>
          <w:b/>
          <w:bCs/>
          <w:sz w:val="24"/>
          <w:szCs w:val="24"/>
        </w:rPr>
      </w:pPr>
    </w:p>
    <w:p>
      <w:pPr>
        <w:spacing w:line="420" w:lineRule="exact"/>
        <w:ind w:firstLine="482" w:firstLineChars="200"/>
        <w:rPr>
          <w:rFonts w:ascii="Times New Roman" w:hAnsi="Times New Roman" w:cs="Times New Roman"/>
          <w:b/>
          <w:sz w:val="24"/>
          <w:szCs w:val="24"/>
        </w:rPr>
      </w:pPr>
      <w:r>
        <w:rPr>
          <w:rFonts w:hint="eastAsia" w:ascii="Times New Roman" w:hAnsi="Times New Roman" w:cs="Times New Roman"/>
          <w:b/>
          <w:sz w:val="24"/>
          <w:szCs w:val="24"/>
        </w:rPr>
        <w:t>七</w:t>
      </w:r>
      <w:r>
        <w:rPr>
          <w:rFonts w:ascii="Times New Roman" w:hAnsi="Times New Roman" w:cs="Times New Roman"/>
          <w:b/>
          <w:sz w:val="24"/>
          <w:szCs w:val="24"/>
        </w:rPr>
        <w:t>、其他</w:t>
      </w:r>
    </w:p>
    <w:p>
      <w:pPr>
        <w:spacing w:line="420" w:lineRule="exact"/>
        <w:ind w:firstLine="480" w:firstLineChars="200"/>
        <w:rPr>
          <w:rFonts w:ascii="Times New Roman" w:hAnsi="Times New Roman" w:cs="Times New Roman"/>
          <w:sz w:val="24"/>
          <w:szCs w:val="24"/>
        </w:rPr>
      </w:pPr>
      <w:r>
        <w:rPr>
          <w:rFonts w:ascii="Times New Roman" w:hAnsi="Times New Roman" w:cs="Times New Roman"/>
          <w:sz w:val="24"/>
          <w:szCs w:val="24"/>
        </w:rPr>
        <w:t>1、学科</w:t>
      </w:r>
      <w:r>
        <w:rPr>
          <w:rFonts w:hint="eastAsia" w:ascii="Times New Roman" w:hAnsi="Times New Roman" w:cs="Times New Roman"/>
          <w:sz w:val="24"/>
          <w:szCs w:val="24"/>
        </w:rPr>
        <w:t>与规划办公室</w:t>
      </w:r>
      <w:r>
        <w:rPr>
          <w:rFonts w:ascii="Times New Roman" w:hAnsi="Times New Roman" w:cs="Times New Roman"/>
          <w:sz w:val="24"/>
          <w:szCs w:val="24"/>
        </w:rPr>
        <w:t>负责总体协调和工作组织，因工作需要发生的各项费用由学科办按照学院经费预算从学科专项里列支。</w:t>
      </w:r>
    </w:p>
    <w:p>
      <w:pPr>
        <w:spacing w:line="420" w:lineRule="exact"/>
        <w:ind w:firstLine="480" w:firstLineChars="200"/>
        <w:rPr>
          <w:rFonts w:ascii="Times New Roman" w:hAnsi="Times New Roman" w:eastAsia="宋体" w:cs="Times New Roman"/>
          <w:sz w:val="24"/>
          <w:szCs w:val="24"/>
        </w:rPr>
      </w:pPr>
      <w:r>
        <w:rPr>
          <w:rFonts w:ascii="Times New Roman" w:hAnsi="Times New Roman" w:cs="Times New Roman"/>
          <w:sz w:val="24"/>
          <w:szCs w:val="24"/>
        </w:rPr>
        <w:t>2、请相关老师及时关注“学位授权点合格评估数据填报工作群</w:t>
      </w:r>
      <w:r>
        <w:rPr>
          <w:rFonts w:ascii="Times New Roman" w:hAnsi="Times New Roman" w:eastAsia="宋体" w:cs="Times New Roman"/>
          <w:sz w:val="24"/>
          <w:szCs w:val="24"/>
        </w:rPr>
        <w:t>”及邮件通知。</w:t>
      </w:r>
    </w:p>
    <w:p>
      <w:pPr>
        <w:spacing w:line="420" w:lineRule="exact"/>
        <w:ind w:firstLine="480" w:firstLineChars="200"/>
        <w:rPr>
          <w:rFonts w:ascii="Times New Roman" w:hAnsi="Times New Roman" w:cs="Times New Roman"/>
          <w:sz w:val="24"/>
          <w:szCs w:val="24"/>
        </w:rPr>
      </w:pPr>
      <w:r>
        <w:rPr>
          <w:rFonts w:ascii="Times New Roman" w:hAnsi="Times New Roman" w:cs="Times New Roman"/>
          <w:sz w:val="24"/>
          <w:szCs w:val="24"/>
        </w:rPr>
        <w:t>3、如有任何疑问，务请及时沟通。</w:t>
      </w:r>
    </w:p>
    <w:p>
      <w:pPr>
        <w:spacing w:line="420" w:lineRule="exact"/>
        <w:ind w:firstLine="480" w:firstLineChars="200"/>
        <w:rPr>
          <w:rFonts w:ascii="Times New Roman" w:hAnsi="Times New Roman" w:cs="Times New Roman"/>
          <w:sz w:val="24"/>
          <w:szCs w:val="24"/>
        </w:rPr>
      </w:pPr>
      <w:r>
        <w:rPr>
          <w:rFonts w:ascii="Times New Roman" w:hAnsi="Times New Roman" w:cs="Times New Roman"/>
          <w:sz w:val="24"/>
          <w:szCs w:val="24"/>
        </w:rPr>
        <w:t>4、联系人：</w:t>
      </w:r>
      <w:r>
        <w:rPr>
          <w:rFonts w:hint="eastAsia" w:ascii="Times New Roman" w:hAnsi="Times New Roman" w:cs="Times New Roman"/>
          <w:sz w:val="24"/>
          <w:szCs w:val="24"/>
        </w:rPr>
        <w:t>邱 妍</w:t>
      </w:r>
      <w:r>
        <w:rPr>
          <w:rFonts w:ascii="Times New Roman" w:hAnsi="Times New Roman" w:cs="Times New Roman"/>
          <w:sz w:val="24"/>
          <w:szCs w:val="24"/>
        </w:rPr>
        <w:t>(</w:t>
      </w:r>
      <w:r>
        <w:rPr>
          <w:rFonts w:hint="eastAsia" w:ascii="Times New Roman" w:hAnsi="Times New Roman" w:cs="Times New Roman"/>
          <w:sz w:val="24"/>
          <w:szCs w:val="24"/>
        </w:rPr>
        <w:t>68514285</w:t>
      </w:r>
      <w:r>
        <w:rPr>
          <w:rFonts w:ascii="Times New Roman" w:hAnsi="Times New Roman" w:cs="Times New Roman"/>
          <w:sz w:val="24"/>
          <w:szCs w:val="24"/>
        </w:rPr>
        <w:t>/13851944280，博学楼</w:t>
      </w:r>
      <w:r>
        <w:rPr>
          <w:rFonts w:hint="eastAsia" w:ascii="Times New Roman" w:hAnsi="Times New Roman" w:cs="Times New Roman"/>
          <w:sz w:val="24"/>
          <w:szCs w:val="24"/>
        </w:rPr>
        <w:t>922</w:t>
      </w:r>
      <w:r>
        <w:rPr>
          <w:rFonts w:ascii="Times New Roman" w:hAnsi="Times New Roman" w:cs="Times New Roman"/>
          <w:sz w:val="24"/>
          <w:szCs w:val="24"/>
        </w:rPr>
        <w:t>)</w:t>
      </w:r>
    </w:p>
    <w:p>
      <w:pPr>
        <w:spacing w:line="420" w:lineRule="exact"/>
        <w:ind w:firstLine="480" w:firstLineChars="200"/>
        <w:rPr>
          <w:rFonts w:ascii="Times New Roman" w:hAnsi="Times New Roman" w:cs="Times New Roman"/>
          <w:sz w:val="24"/>
          <w:szCs w:val="24"/>
        </w:rPr>
      </w:pPr>
      <w:r>
        <w:rPr>
          <w:rFonts w:ascii="Times New Roman" w:hAnsi="Times New Roman" w:cs="Times New Roman"/>
          <w:sz w:val="24"/>
          <w:szCs w:val="24"/>
        </w:rPr>
        <w:t xml:space="preserve">           孙 莉(68514319/15805151100，博学楼922)</w:t>
      </w:r>
    </w:p>
    <w:p>
      <w:pPr>
        <w:spacing w:line="420" w:lineRule="exact"/>
        <w:ind w:firstLine="480" w:firstLineChars="200"/>
        <w:rPr>
          <w:rFonts w:ascii="Times New Roman" w:hAnsi="Times New Roman" w:cs="Times New Roman"/>
          <w:sz w:val="24"/>
          <w:szCs w:val="24"/>
        </w:rPr>
      </w:pPr>
      <w:r>
        <w:rPr>
          <w:rFonts w:ascii="Times New Roman" w:hAnsi="Times New Roman" w:cs="Times New Roman"/>
          <w:sz w:val="24"/>
          <w:szCs w:val="24"/>
        </w:rPr>
        <w:t xml:space="preserve">    </w:t>
      </w:r>
    </w:p>
    <w:p>
      <w:pPr>
        <w:spacing w:line="420" w:lineRule="exact"/>
        <w:ind w:firstLine="480" w:firstLineChars="200"/>
        <w:rPr>
          <w:rFonts w:ascii="Times New Roman" w:hAnsi="Times New Roman" w:cs="Times New Roman"/>
          <w:sz w:val="24"/>
          <w:szCs w:val="24"/>
        </w:rPr>
      </w:pPr>
    </w:p>
    <w:p>
      <w:pPr>
        <w:spacing w:line="420" w:lineRule="exact"/>
        <w:ind w:firstLine="480" w:firstLineChars="200"/>
        <w:jc w:val="right"/>
        <w:rPr>
          <w:rFonts w:ascii="Times New Roman" w:hAnsi="Times New Roman" w:cs="Times New Roman"/>
          <w:sz w:val="24"/>
          <w:szCs w:val="24"/>
        </w:rPr>
      </w:pPr>
    </w:p>
    <w:p>
      <w:pPr>
        <w:spacing w:line="420" w:lineRule="exact"/>
        <w:ind w:firstLine="480" w:firstLineChars="200"/>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学科</w:t>
      </w:r>
      <w:r>
        <w:rPr>
          <w:rFonts w:hint="eastAsia" w:ascii="Times New Roman" w:hAnsi="Times New Roman" w:cs="Times New Roman"/>
          <w:sz w:val="24"/>
          <w:szCs w:val="24"/>
        </w:rPr>
        <w:t>与规划办公室</w:t>
      </w:r>
    </w:p>
    <w:p>
      <w:pPr>
        <w:spacing w:line="420" w:lineRule="exact"/>
        <w:ind w:firstLine="480" w:firstLineChars="200"/>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20</w:t>
      </w:r>
      <w:r>
        <w:rPr>
          <w:rFonts w:hint="eastAsia" w:ascii="Times New Roman" w:hAnsi="Times New Roman" w:cs="Times New Roman"/>
          <w:sz w:val="24"/>
          <w:szCs w:val="24"/>
        </w:rPr>
        <w:t>21年10月26日</w:t>
      </w:r>
    </w:p>
    <w:sectPr>
      <w:footerReference r:id="rId3" w:type="default"/>
      <w:pgSz w:w="11906" w:h="16838"/>
      <w:pgMar w:top="1191" w:right="1191" w:bottom="1191" w:left="1191" w:header="851" w:footer="528"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4639251"/>
    </w:sdtPr>
    <w:sdtContent>
      <w:sdt>
        <w:sdtPr>
          <w:id w:val="1728636285"/>
        </w:sdtPr>
        <w:sdtContent>
          <w:p>
            <w:pPr>
              <w:pStyle w:val="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w:t>
            </w:r>
            <w:r>
              <w:rPr>
                <w:b/>
                <w:bCs/>
                <w:sz w:val="24"/>
                <w:szCs w:val="24"/>
              </w:rPr>
              <w:fldChar w:fldCharType="end"/>
            </w:r>
          </w:p>
        </w:sdtContent>
      </w:sdt>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F45CFB"/>
    <w:multiLevelType w:val="singleLevel"/>
    <w:tmpl w:val="D5F45CFB"/>
    <w:lvl w:ilvl="0" w:tentative="0">
      <w:start w:val="1"/>
      <w:numFmt w:val="chineseCounting"/>
      <w:suff w:val="nothing"/>
      <w:lvlText w:val="%1、"/>
      <w:lvlJc w:val="left"/>
      <w:rPr>
        <w:rFonts w:hint="eastAsia"/>
      </w:rPr>
    </w:lvl>
  </w:abstractNum>
  <w:abstractNum w:abstractNumId="1">
    <w:nsid w:val="0E361628"/>
    <w:multiLevelType w:val="singleLevel"/>
    <w:tmpl w:val="0E361628"/>
    <w:lvl w:ilvl="0" w:tentative="0">
      <w:start w:val="2"/>
      <w:numFmt w:val="decimal"/>
      <w:suff w:val="nothing"/>
      <w:lvlText w:val="%1、"/>
      <w:lvlJc w:val="left"/>
      <w:rPr>
        <w:rFonts w:hint="default"/>
        <w:b w:val="0"/>
        <w:bCs w:val="0"/>
      </w:rPr>
    </w:lvl>
  </w:abstractNum>
  <w:abstractNum w:abstractNumId="2">
    <w:nsid w:val="1BF45814"/>
    <w:multiLevelType w:val="singleLevel"/>
    <w:tmpl w:val="1BF45814"/>
    <w:lvl w:ilvl="0" w:tentative="0">
      <w:start w:val="4"/>
      <w:numFmt w:val="chineseCounting"/>
      <w:suff w:val="nothing"/>
      <w:lvlText w:val="%1、"/>
      <w:lvlJc w:val="left"/>
      <w:rPr>
        <w:rFonts w:hint="eastAsia"/>
      </w:rPr>
    </w:lvl>
  </w:abstractNum>
  <w:abstractNum w:abstractNumId="3">
    <w:nsid w:val="1E3DED15"/>
    <w:multiLevelType w:val="singleLevel"/>
    <w:tmpl w:val="1E3DED15"/>
    <w:lvl w:ilvl="0" w:tentative="0">
      <w:start w:val="2"/>
      <w:numFmt w:val="decimal"/>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016C3"/>
    <w:rsid w:val="00050347"/>
    <w:rsid w:val="000561F8"/>
    <w:rsid w:val="00120AB5"/>
    <w:rsid w:val="00133A56"/>
    <w:rsid w:val="00136109"/>
    <w:rsid w:val="00151CA8"/>
    <w:rsid w:val="001569B9"/>
    <w:rsid w:val="001713FE"/>
    <w:rsid w:val="00172953"/>
    <w:rsid w:val="00186C41"/>
    <w:rsid w:val="001C78E3"/>
    <w:rsid w:val="001D6B2E"/>
    <w:rsid w:val="00240C20"/>
    <w:rsid w:val="0028396C"/>
    <w:rsid w:val="002967F6"/>
    <w:rsid w:val="002A4414"/>
    <w:rsid w:val="002E7470"/>
    <w:rsid w:val="002F122D"/>
    <w:rsid w:val="002F266D"/>
    <w:rsid w:val="00302DFF"/>
    <w:rsid w:val="00305A41"/>
    <w:rsid w:val="00313FD3"/>
    <w:rsid w:val="00346B08"/>
    <w:rsid w:val="00361CF4"/>
    <w:rsid w:val="00377940"/>
    <w:rsid w:val="003F5E50"/>
    <w:rsid w:val="004010EB"/>
    <w:rsid w:val="004016C3"/>
    <w:rsid w:val="00406A5E"/>
    <w:rsid w:val="00452724"/>
    <w:rsid w:val="004C4729"/>
    <w:rsid w:val="004E38E0"/>
    <w:rsid w:val="00522C25"/>
    <w:rsid w:val="00547731"/>
    <w:rsid w:val="00582644"/>
    <w:rsid w:val="00633ACC"/>
    <w:rsid w:val="006A1666"/>
    <w:rsid w:val="006E6B9B"/>
    <w:rsid w:val="006F073F"/>
    <w:rsid w:val="00772C31"/>
    <w:rsid w:val="007B6DCC"/>
    <w:rsid w:val="00820AA8"/>
    <w:rsid w:val="0084390E"/>
    <w:rsid w:val="008A7C04"/>
    <w:rsid w:val="00922A5F"/>
    <w:rsid w:val="00960A6E"/>
    <w:rsid w:val="009D3E32"/>
    <w:rsid w:val="009E4BB9"/>
    <w:rsid w:val="00A028D8"/>
    <w:rsid w:val="00A25188"/>
    <w:rsid w:val="00A55481"/>
    <w:rsid w:val="00A5597B"/>
    <w:rsid w:val="00A64294"/>
    <w:rsid w:val="00BE1D8E"/>
    <w:rsid w:val="00C720FD"/>
    <w:rsid w:val="00CF2982"/>
    <w:rsid w:val="00D57AA6"/>
    <w:rsid w:val="00DE6B08"/>
    <w:rsid w:val="00E05995"/>
    <w:rsid w:val="00E56456"/>
    <w:rsid w:val="00E77FE9"/>
    <w:rsid w:val="00EC332D"/>
    <w:rsid w:val="00ED7909"/>
    <w:rsid w:val="00EF1D8B"/>
    <w:rsid w:val="00F02DCA"/>
    <w:rsid w:val="00F76266"/>
    <w:rsid w:val="00FA2EBA"/>
    <w:rsid w:val="00FA5AFD"/>
    <w:rsid w:val="00FC6A66"/>
    <w:rsid w:val="1477739F"/>
    <w:rsid w:val="28B122CE"/>
    <w:rsid w:val="3094794B"/>
    <w:rsid w:val="502A7162"/>
    <w:rsid w:val="55DA3AF9"/>
    <w:rsid w:val="5EA57175"/>
    <w:rsid w:val="60D870A1"/>
    <w:rsid w:val="726744D1"/>
    <w:rsid w:val="7DE963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firstLine="420" w:firstLineChars="200"/>
    </w:p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character" w:customStyle="1" w:styleId="11">
    <w:name w:val="批注框文本 Char"/>
    <w:basedOn w:val="7"/>
    <w:link w:val="2"/>
    <w:semiHidden/>
    <w:qFormat/>
    <w:uiPriority w:val="99"/>
    <w:rPr>
      <w:sz w:val="18"/>
      <w:szCs w:val="18"/>
    </w:rPr>
  </w:style>
  <w:style w:type="character" w:customStyle="1" w:styleId="12">
    <w:name w:val="font11"/>
    <w:basedOn w:val="7"/>
    <w:qFormat/>
    <w:uiPriority w:val="0"/>
    <w:rPr>
      <w:rFonts w:hint="eastAsia" w:ascii="宋体" w:hAnsi="宋体" w:eastAsia="宋体" w:cs="宋体"/>
      <w:b/>
      <w:bCs/>
      <w:color w:val="000000"/>
      <w:sz w:val="24"/>
      <w:szCs w:val="24"/>
      <w:u w:val="none"/>
    </w:rPr>
  </w:style>
  <w:style w:type="character" w:customStyle="1" w:styleId="13">
    <w:name w:val="font41"/>
    <w:basedOn w:val="7"/>
    <w:qFormat/>
    <w:uiPriority w:val="0"/>
    <w:rPr>
      <w:rFonts w:ascii="黑体" w:hAnsi="宋体" w:eastAsia="黑体" w:cs="黑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D48C47-D44E-48A9-AE6A-1888AD7C8DEE}">
  <ds:schemaRefs/>
</ds:datastoreItem>
</file>

<file path=docProps/app.xml><?xml version="1.0" encoding="utf-8"?>
<Properties xmlns="http://schemas.openxmlformats.org/officeDocument/2006/extended-properties" xmlns:vt="http://schemas.openxmlformats.org/officeDocument/2006/docPropsVTypes">
  <Template>Normal</Template>
  <Pages>1</Pages>
  <Words>730</Words>
  <Characters>4161</Characters>
  <Lines>34</Lines>
  <Paragraphs>9</Paragraphs>
  <TotalTime>2</TotalTime>
  <ScaleCrop>false</ScaleCrop>
  <LinksUpToDate>false</LinksUpToDate>
  <CharactersWithSpaces>4882</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2018-08-18T09:59:00Z</dcterms:created>
  <dc:creator>hp</dc:creator>
  <cp:lastModifiedBy>邱妍</cp:lastModifiedBy>
  <cp:lastPrinted>2021-10-26T01:08:00Z</cp:lastPrinted>
  <dcterms:modified xsi:type="dcterms:W3CDTF">2021-10-26T06:04:27Z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118F1593BAA041C6AB1B7CEDD71B7956</vt:lpwstr>
  </property>
</Properties>
</file>