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rPr>
          <w:rFonts w:hint="eastAsia" w:ascii="黑体" w:hAnsi="华文中宋" w:eastAsia="黑体"/>
          <w:szCs w:val="32"/>
        </w:rPr>
      </w:pPr>
      <w:r>
        <w:rPr>
          <w:rFonts w:hint="eastAsia" w:ascii="黑体" w:hAnsi="华文中宋" w:eastAsia="黑体"/>
          <w:szCs w:val="32"/>
        </w:rPr>
        <w:t>附件</w:t>
      </w:r>
    </w:p>
    <w:p>
      <w:pPr>
        <w:spacing w:line="560" w:lineRule="exact"/>
        <w:jc w:val="center"/>
        <w:rPr>
          <w:rFonts w:hint="eastAsia" w:ascii="方正小标宋简体" w:hAnsi="方正小标宋简体" w:eastAsia="方正小标宋简体" w:cs="方正小标宋简体"/>
          <w:sz w:val="44"/>
          <w:szCs w:val="44"/>
          <w:highlight w:val="none"/>
        </w:rPr>
      </w:pPr>
    </w:p>
    <w:p>
      <w:pPr>
        <w:spacing w:line="560" w:lineRule="exact"/>
        <w:jc w:val="center"/>
        <w:rPr>
          <w:rFonts w:hint="eastAsia" w:ascii="方正小标宋简体" w:hAnsi="方正小标宋简体" w:eastAsia="方正小标宋简体" w:cs="方正小标宋简体"/>
          <w:b/>
          <w:bCs/>
          <w:sz w:val="36"/>
          <w:szCs w:val="36"/>
          <w:highlight w:val="none"/>
        </w:rPr>
      </w:pPr>
      <w:r>
        <w:rPr>
          <w:rFonts w:hint="eastAsia" w:ascii="方正小标宋简体" w:hAnsi="方正小标宋简体" w:eastAsia="方正小标宋简体" w:cs="方正小标宋简体"/>
          <w:b/>
          <w:bCs/>
          <w:sz w:val="36"/>
          <w:szCs w:val="36"/>
          <w:highlight w:val="none"/>
        </w:rPr>
        <w:t>河海大学2020-2025年学位授权点自我评估工作方案</w:t>
      </w:r>
    </w:p>
    <w:p>
      <w:pPr>
        <w:pStyle w:val="3"/>
        <w:adjustRightInd w:val="0"/>
        <w:snapToGrid w:val="0"/>
        <w:spacing w:before="240" w:beforeLines="100" w:beforeAutospacing="0" w:after="0" w:afterAutospacing="0" w:line="560" w:lineRule="exact"/>
        <w:ind w:firstLine="640" w:firstLineChars="200"/>
        <w:jc w:val="both"/>
        <w:rPr>
          <w:rFonts w:ascii="仿宋_GB2312" w:eastAsia="仿宋_GB2312"/>
          <w:sz w:val="32"/>
          <w:szCs w:val="32"/>
          <w:highlight w:val="none"/>
        </w:rPr>
      </w:pPr>
      <w:r>
        <w:rPr>
          <w:rFonts w:hint="eastAsia" w:ascii="仿宋_GB2312" w:hAnsi="Times New Roman" w:eastAsia="仿宋_GB2312" w:cs="Times New Roman"/>
          <w:color w:val="auto"/>
          <w:kern w:val="2"/>
          <w:sz w:val="32"/>
          <w:szCs w:val="32"/>
          <w:highlight w:val="none"/>
        </w:rPr>
        <w:t>根据《国务院学位委员会教育部关于修订印发&lt;学位授权点合格评估办法&gt;的通知》（学位〔2020〕25号）、《国务院学位委员会教育部关于开展2020-2025年学位授权点周期性合格评估工作的通知》（学位〔2020〕26号）和《江苏省学位委员会办公室关于做好2020-2025年学位授权点周期性合格评估工作的通知》（苏学位办〔2021〕3号）等文件精神，现就河海大学2020-2025年学位授权点自我评估工作安排如下：</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一、评估目的</w:t>
      </w:r>
    </w:p>
    <w:p>
      <w:pPr>
        <w:pStyle w:val="2"/>
        <w:adjustRightInd w:val="0"/>
        <w:snapToGrid w:val="0"/>
        <w:spacing w:line="560" w:lineRule="exact"/>
        <w:rPr>
          <w:rFonts w:hAnsi="宋体"/>
          <w:highlight w:val="none"/>
        </w:rPr>
      </w:pPr>
      <w:r>
        <w:rPr>
          <w:rFonts w:hint="eastAsia" w:eastAsia="仿宋_GB2312"/>
          <w:kern w:val="2"/>
          <w:highlight w:val="none"/>
        </w:rPr>
        <w:t>学位授权点自我评估遵循科学、客观、公正的原则，坚持底线思维，以研究生培养和学位授予质量为重点，学科条件保障与人才培养质量提升相统一。旨在通过自我评估，以评促建、以评促改，强化学位授权点内涵建设</w:t>
      </w:r>
      <w:r>
        <w:rPr>
          <w:rFonts w:hint="eastAsia" w:eastAsia="仿宋_GB2312"/>
          <w:kern w:val="2"/>
          <w:highlight w:val="none"/>
          <w:lang w:eastAsia="zh-CN"/>
        </w:rPr>
        <w:t>，</w:t>
      </w:r>
      <w:r>
        <w:rPr>
          <w:rFonts w:hint="eastAsia" w:eastAsia="仿宋_GB2312"/>
          <w:kern w:val="2"/>
          <w:highlight w:val="none"/>
        </w:rPr>
        <w:t>建立学位授权点动态调整机制，持续提升我校研究生教育质量。</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二、评估范围</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我校2013年以前（含2013年）获得授权的学位授权点和2013-2015年获得授权且专项合格评估结果达到合格的学位授权点，总计43个学位授权点。其中，一级博士点12个，一级硕士点18个，二级硕士点3个，专业硕士点10个，具体名单见表1。</w:t>
      </w:r>
    </w:p>
    <w:p>
      <w:pPr>
        <w:adjustRightInd w:val="0"/>
        <w:snapToGrid w:val="0"/>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学术学位授权点自我评估中，具有一级学科博士学位授予权的学位点，其所包含的硕士学位授权点的评估与该博士点同步进行，不单独进行评估。</w:t>
      </w:r>
    </w:p>
    <w:p>
      <w:pPr>
        <w:pStyle w:val="3"/>
        <w:adjustRightInd w:val="0"/>
        <w:snapToGrid w:val="0"/>
        <w:spacing w:before="0" w:beforeAutospacing="0" w:after="120" w:afterLines="50" w:afterAutospacing="0" w:line="560" w:lineRule="exact"/>
        <w:jc w:val="center"/>
        <w:rPr>
          <w:rFonts w:hint="eastAsia"/>
          <w:b/>
          <w:bCs/>
          <w:color w:val="auto"/>
          <w:kern w:val="2"/>
          <w:highlight w:val="none"/>
        </w:rPr>
      </w:pPr>
      <w:r>
        <w:rPr>
          <w:rFonts w:hint="eastAsia"/>
          <w:b/>
          <w:bCs/>
          <w:color w:val="auto"/>
          <w:kern w:val="2"/>
          <w:highlight w:val="none"/>
        </w:rPr>
        <w:t>表1 河海大学2020-2025年学位授权点自我评估参评点</w:t>
      </w:r>
    </w:p>
    <w:tbl>
      <w:tblPr>
        <w:tblStyle w:val="4"/>
        <w:tblW w:w="7379" w:type="dxa"/>
        <w:jc w:val="center"/>
        <w:tblLayout w:type="fixed"/>
        <w:tblCellMar>
          <w:top w:w="0" w:type="dxa"/>
          <w:left w:w="0" w:type="dxa"/>
          <w:bottom w:w="0" w:type="dxa"/>
          <w:right w:w="0" w:type="dxa"/>
        </w:tblCellMar>
      </w:tblPr>
      <w:tblGrid>
        <w:gridCol w:w="742"/>
        <w:gridCol w:w="2058"/>
        <w:gridCol w:w="2723"/>
        <w:gridCol w:w="1856"/>
      </w:tblGrid>
      <w:tr>
        <w:tblPrEx>
          <w:tblCellMar>
            <w:top w:w="0" w:type="dxa"/>
            <w:left w:w="0" w:type="dxa"/>
            <w:bottom w:w="0" w:type="dxa"/>
            <w:right w:w="0" w:type="dxa"/>
          </w:tblCellMar>
        </w:tblPrEx>
        <w:trPr>
          <w:trHeight w:val="497"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b/>
                <w:color w:val="000000"/>
                <w:sz w:val="24"/>
                <w:szCs w:val="24"/>
                <w:highlight w:val="none"/>
              </w:rPr>
            </w:pPr>
            <w:r>
              <w:rPr>
                <w:rFonts w:hint="eastAsia" w:ascii="宋体" w:hAnsi="宋体" w:cs="宋体"/>
                <w:b/>
                <w:color w:val="000000"/>
                <w:kern w:val="0"/>
                <w:sz w:val="24"/>
                <w:szCs w:val="24"/>
                <w:highlight w:val="none"/>
                <w:lang w:bidi="ar"/>
              </w:rPr>
              <w:t>序号</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b/>
                <w:color w:val="000000"/>
                <w:sz w:val="24"/>
                <w:szCs w:val="24"/>
                <w:highlight w:val="none"/>
              </w:rPr>
            </w:pPr>
            <w:r>
              <w:rPr>
                <w:rFonts w:hint="eastAsia" w:ascii="宋体" w:hAnsi="宋体" w:cs="宋体"/>
                <w:b/>
                <w:color w:val="000000"/>
                <w:kern w:val="0"/>
                <w:sz w:val="24"/>
                <w:szCs w:val="24"/>
                <w:highlight w:val="none"/>
                <w:lang w:bidi="ar"/>
              </w:rPr>
              <w:t>学科（类别）代码</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b/>
                <w:color w:val="000000"/>
                <w:sz w:val="24"/>
                <w:szCs w:val="24"/>
                <w:highlight w:val="none"/>
              </w:rPr>
            </w:pPr>
            <w:r>
              <w:rPr>
                <w:rFonts w:hint="eastAsia" w:ascii="宋体" w:hAnsi="宋体" w:cs="宋体"/>
                <w:b/>
                <w:color w:val="000000"/>
                <w:kern w:val="0"/>
                <w:sz w:val="24"/>
                <w:szCs w:val="24"/>
                <w:highlight w:val="none"/>
                <w:lang w:bidi="ar"/>
              </w:rPr>
              <w:t>学科（类别）名称</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b/>
                <w:color w:val="000000"/>
                <w:sz w:val="24"/>
                <w:szCs w:val="24"/>
                <w:highlight w:val="none"/>
              </w:rPr>
            </w:pPr>
            <w:r>
              <w:rPr>
                <w:rFonts w:hint="eastAsia" w:ascii="宋体" w:hAnsi="宋体" w:cs="宋体"/>
                <w:b/>
                <w:color w:val="000000"/>
                <w:kern w:val="0"/>
                <w:sz w:val="24"/>
                <w:szCs w:val="24"/>
                <w:highlight w:val="none"/>
                <w:lang w:bidi="ar"/>
              </w:rPr>
              <w:t>授权级别名称</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力学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0808</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电气工程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0810</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信息与通信工程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4</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计算机科学与技术</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5</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0814</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土木工程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6</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0815</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水利工程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7</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0818</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地质资源与地质工程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8</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0828</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农业工程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9</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0830</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环境科学与工程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10</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0835</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软件工程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11</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管理科学与工程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1202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工商管理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博一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13</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0101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哲学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14</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理论经济学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15</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0202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应用经济学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16</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0301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法学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17</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0401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教育学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18</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0502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外国语言文学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19</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0503</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新闻传播学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20</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0701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数学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21</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0705</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地理学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22</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0709</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地质学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23</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0714</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统计学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24</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机械工程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25</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0805</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材料科学与工程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26</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0807</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动力工程及工程热物理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27</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0809</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电子科学与技术</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28</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0811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控制科学与工程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29</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0823</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交通运输工程</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30</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1204</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公共管理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硕一</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31</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040303</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体育教育训练学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硕二</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32</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070205</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凝聚态物理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硕二</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33</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090301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土壤学</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硕二</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34</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1251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工商管理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35</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0251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金融</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36</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0254</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国际商务</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37</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0256</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资产评估</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38</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0352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社会工作</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39</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0551</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翻译</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40</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1252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公共管理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41</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1253</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会计</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42</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1256</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工程管理</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r>
        <w:tblPrEx>
          <w:tblCellMar>
            <w:top w:w="0" w:type="dxa"/>
            <w:left w:w="0" w:type="dxa"/>
            <w:bottom w:w="0" w:type="dxa"/>
            <w:right w:w="0" w:type="dxa"/>
          </w:tblCellMar>
        </w:tblPrEx>
        <w:trPr>
          <w:trHeight w:val="320" w:hRule="atLeast"/>
          <w:jc w:val="center"/>
        </w:trPr>
        <w:tc>
          <w:tcPr>
            <w:tcW w:w="742"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43</w:t>
            </w:r>
          </w:p>
        </w:tc>
        <w:tc>
          <w:tcPr>
            <w:tcW w:w="2058"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0252</w:t>
            </w:r>
          </w:p>
        </w:tc>
        <w:tc>
          <w:tcPr>
            <w:tcW w:w="2723"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应用统计</w:t>
            </w:r>
          </w:p>
        </w:tc>
        <w:tc>
          <w:tcPr>
            <w:tcW w:w="1856" w:type="dxa"/>
            <w:tcBorders>
              <w:top w:val="single" w:color="000000" w:sz="4" w:space="0"/>
              <w:left w:val="single" w:color="000000" w:sz="4" w:space="0"/>
              <w:bottom w:val="single" w:color="000000" w:sz="4" w:space="0"/>
              <w:right w:val="single" w:color="000000" w:sz="4" w:space="0"/>
            </w:tcBorders>
            <w:tcMar>
              <w:top w:w="9" w:type="dxa"/>
              <w:left w:w="9" w:type="dxa"/>
              <w:right w:w="9" w:type="dxa"/>
            </w:tcMar>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硕士专业学位</w:t>
            </w:r>
          </w:p>
        </w:tc>
      </w:tr>
    </w:tbl>
    <w:p>
      <w:pPr>
        <w:pStyle w:val="3"/>
        <w:keepNext w:val="0"/>
        <w:keepLines w:val="0"/>
        <w:pageBreakBefore w:val="0"/>
        <w:widowControl/>
        <w:kinsoku/>
        <w:wordWrap/>
        <w:overflowPunct/>
        <w:topLinePunct w:val="0"/>
        <w:autoSpaceDE/>
        <w:autoSpaceDN/>
        <w:bidi w:val="0"/>
        <w:adjustRightInd w:val="0"/>
        <w:snapToGrid w:val="0"/>
        <w:spacing w:before="437" w:beforeLines="100" w:beforeAutospacing="0" w:after="0" w:afterAutospacing="0" w:line="560" w:lineRule="exact"/>
        <w:ind w:firstLine="643" w:firstLineChars="200"/>
        <w:jc w:val="both"/>
        <w:textAlignment w:val="auto"/>
        <w:outlineLvl w:val="9"/>
        <w:rPr>
          <w:rFonts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三、组织机构及组织形式</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一）学校学位评定委员会全面负责学校学位授权点的自我评估工作。负责审定学校学位授权点自我评估工作方案、指标体系等；审定各学位授权点自我评估实施细则和评估指标体系；审定各学位授权点自评材料；审定</w:t>
      </w:r>
      <w:r>
        <w:rPr>
          <w:rFonts w:hint="eastAsia" w:ascii="仿宋_GB2312" w:eastAsia="仿宋_GB2312"/>
          <w:szCs w:val="32"/>
          <w:highlight w:val="none"/>
          <w:lang w:eastAsia="zh-CN"/>
        </w:rPr>
        <w:t>评估</w:t>
      </w:r>
      <w:r>
        <w:rPr>
          <w:rFonts w:hint="eastAsia" w:ascii="仿宋_GB2312" w:eastAsia="仿宋_GB2312"/>
          <w:szCs w:val="32"/>
          <w:highlight w:val="none"/>
        </w:rPr>
        <w:t>专家名单；协调处理评估工作中的重要事项。</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二）各学院（学部、系）学位评定分委员会负责本学院（学部、系）各学位授权点自我评估工作的组织实施（跨院系的学位授权点评估工作由责任学院负责协调）。负责审核各学位授权点评估实施细则和评估指标体系；审核各学位授权点自评材料；审核</w:t>
      </w:r>
      <w:r>
        <w:rPr>
          <w:rFonts w:hint="eastAsia" w:ascii="仿宋_GB2312" w:eastAsia="仿宋_GB2312"/>
          <w:szCs w:val="32"/>
          <w:highlight w:val="none"/>
          <w:lang w:eastAsia="zh-CN"/>
        </w:rPr>
        <w:t>评估专家</w:t>
      </w:r>
      <w:r>
        <w:rPr>
          <w:rFonts w:hint="eastAsia" w:ascii="仿宋_GB2312" w:eastAsia="仿宋_GB2312"/>
          <w:szCs w:val="32"/>
          <w:highlight w:val="none"/>
        </w:rPr>
        <w:t>名单等。</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（三）</w:t>
      </w:r>
      <w:bookmarkStart w:id="0" w:name="_GoBack"/>
      <w:r>
        <w:rPr>
          <w:rFonts w:hint="eastAsia" w:ascii="仿宋_GB2312" w:eastAsia="仿宋_GB2312"/>
          <w:szCs w:val="32"/>
          <w:highlight w:val="yellow"/>
        </w:rPr>
        <w:t>各学院（学部、系）组建</w:t>
      </w:r>
      <w:r>
        <w:rPr>
          <w:rFonts w:hint="eastAsia" w:ascii="仿宋_GB2312" w:eastAsia="仿宋_GB2312"/>
          <w:szCs w:val="32"/>
          <w:highlight w:val="yellow"/>
          <w:lang w:eastAsia="zh-CN"/>
        </w:rPr>
        <w:t>由院长、分管院长、学位点带头人、学位点学术骨干、行政秘书等成员组成的</w:t>
      </w:r>
      <w:r>
        <w:rPr>
          <w:rFonts w:hint="eastAsia" w:ascii="仿宋_GB2312" w:eastAsia="仿宋_GB2312"/>
          <w:szCs w:val="32"/>
          <w:highlight w:val="yellow"/>
        </w:rPr>
        <w:t>评估</w:t>
      </w:r>
      <w:r>
        <w:rPr>
          <w:rFonts w:hint="eastAsia" w:ascii="仿宋_GB2312" w:eastAsia="仿宋_GB2312"/>
          <w:szCs w:val="32"/>
          <w:highlight w:val="yellow"/>
          <w:lang w:eastAsia="zh-CN"/>
        </w:rPr>
        <w:t>工作组</w:t>
      </w:r>
      <w:r>
        <w:rPr>
          <w:rFonts w:hint="eastAsia" w:ascii="仿宋_GB2312" w:eastAsia="仿宋_GB2312"/>
          <w:szCs w:val="32"/>
          <w:highlight w:val="yellow"/>
        </w:rPr>
        <w:t>，负责相关学位授权点自我评估的具体工作。</w:t>
      </w:r>
      <w:bookmarkEnd w:id="0"/>
      <w:r>
        <w:rPr>
          <w:rFonts w:hint="eastAsia" w:ascii="仿宋_GB2312" w:eastAsia="仿宋_GB2312"/>
          <w:szCs w:val="32"/>
          <w:highlight w:val="none"/>
        </w:rPr>
        <w:t>负责制定各学位授权点评估实施细则和评估指标体系；完成学位授权点自评材料；确定</w:t>
      </w:r>
      <w:r>
        <w:rPr>
          <w:rFonts w:hint="eastAsia" w:ascii="仿宋_GB2312" w:eastAsia="仿宋_GB2312"/>
          <w:szCs w:val="32"/>
          <w:highlight w:val="none"/>
          <w:lang w:eastAsia="zh-CN"/>
        </w:rPr>
        <w:t>评估专家</w:t>
      </w:r>
      <w:r>
        <w:rPr>
          <w:rFonts w:hint="eastAsia" w:ascii="仿宋_GB2312" w:eastAsia="仿宋_GB2312"/>
          <w:szCs w:val="32"/>
          <w:highlight w:val="none"/>
        </w:rPr>
        <w:t>建议名单；完成《学位授权点建设年度报告》</w:t>
      </w:r>
      <w:r>
        <w:rPr>
          <w:rFonts w:hint="eastAsia" w:ascii="仿宋_GB2312" w:eastAsia="仿宋_GB2312"/>
          <w:szCs w:val="32"/>
          <w:highlight w:val="none"/>
          <w:lang w:eastAsia="zh-CN"/>
        </w:rPr>
        <w:t>及</w:t>
      </w:r>
      <w:r>
        <w:rPr>
          <w:rFonts w:hint="eastAsia" w:ascii="仿宋_GB2312" w:eastAsia="仿宋_GB2312"/>
          <w:szCs w:val="32"/>
          <w:highlight w:val="none"/>
        </w:rPr>
        <w:t>《学位授权点自我评估总结报告》等。</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（四）研究生院导师与授权点办公室负责制定学校评估工作方案、指标体系等；协调、落实具体评估工作。</w:t>
      </w:r>
    </w:p>
    <w:p>
      <w:pPr>
        <w:pStyle w:val="3"/>
        <w:adjustRightInd w:val="0"/>
        <w:snapToGrid w:val="0"/>
        <w:spacing w:before="0" w:beforeAutospacing="0" w:after="0" w:afterAutospacing="0" w:line="560" w:lineRule="exact"/>
        <w:ind w:firstLine="643" w:firstLineChars="200"/>
        <w:jc w:val="both"/>
        <w:rPr>
          <w:rFonts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四、评估方式及程序</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评估主要采取查阅材料、现场交流、实地考察、会议评议等方式进行。</w:t>
      </w:r>
    </w:p>
    <w:p>
      <w:pPr>
        <w:pStyle w:val="3"/>
        <w:numPr>
          <w:ilvl w:val="0"/>
          <w:numId w:val="1"/>
        </w:numPr>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公布名单。学校根据评估工作整体进度安排和学位授权点申请情况，定期公布需要评估的学位授权点名单。</w:t>
      </w:r>
    </w:p>
    <w:p>
      <w:pPr>
        <w:pStyle w:val="3"/>
        <w:numPr>
          <w:ilvl w:val="0"/>
          <w:numId w:val="1"/>
        </w:numPr>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需参加评估的学位授权点根据经学校审定通过的评估工作方案和指标体系，准备自我评估材料及相关证明材料。</w:t>
      </w:r>
    </w:p>
    <w:p>
      <w:pPr>
        <w:pStyle w:val="3"/>
        <w:numPr>
          <w:ilvl w:val="0"/>
          <w:numId w:val="1"/>
        </w:numPr>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专家聘请。评议专家以国内同行专家为主</w:t>
      </w:r>
      <w:r>
        <w:rPr>
          <w:rFonts w:hint="eastAsia" w:ascii="仿宋_GB2312"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yellow"/>
        </w:rPr>
        <w:t>专家组的人数应为奇数</w:t>
      </w:r>
      <w:r>
        <w:rPr>
          <w:rFonts w:hint="eastAsia" w:ascii="仿宋_GB2312" w:hAnsi="Times New Roman" w:eastAsia="仿宋_GB2312" w:cs="Times New Roman"/>
          <w:color w:val="auto"/>
          <w:kern w:val="2"/>
          <w:sz w:val="32"/>
          <w:szCs w:val="32"/>
          <w:highlight w:val="none"/>
        </w:rPr>
        <w:t>。评估专家一般应是本学科领域学术水平较高的研究生导师</w:t>
      </w:r>
      <w:r>
        <w:rPr>
          <w:rFonts w:hint="eastAsia" w:ascii="仿宋_GB2312" w:eastAsia="仿宋_GB2312" w:cs="Times New Roman"/>
          <w:color w:val="auto"/>
          <w:kern w:val="2"/>
          <w:sz w:val="32"/>
          <w:szCs w:val="32"/>
          <w:highlight w:val="none"/>
        </w:rPr>
        <w:t>，其中，</w:t>
      </w:r>
      <w:r>
        <w:rPr>
          <w:rFonts w:hint="eastAsia" w:ascii="仿宋_GB2312" w:hAnsi="Times New Roman" w:eastAsia="仿宋_GB2312" w:cs="Times New Roman"/>
          <w:color w:val="auto"/>
          <w:kern w:val="2"/>
          <w:sz w:val="32"/>
          <w:szCs w:val="32"/>
          <w:highlight w:val="yellow"/>
        </w:rPr>
        <w:t>外单位同行专家人数</w:t>
      </w:r>
      <w:r>
        <w:rPr>
          <w:rFonts w:hint="eastAsia" w:ascii="仿宋_GB2312" w:eastAsia="仿宋_GB2312" w:cs="Times New Roman"/>
          <w:color w:val="auto"/>
          <w:kern w:val="2"/>
          <w:sz w:val="32"/>
          <w:szCs w:val="32"/>
          <w:highlight w:val="yellow"/>
        </w:rPr>
        <w:t>一般</w:t>
      </w:r>
      <w:r>
        <w:rPr>
          <w:rFonts w:hint="eastAsia" w:ascii="仿宋_GB2312" w:hAnsi="Times New Roman" w:eastAsia="仿宋_GB2312" w:cs="Times New Roman"/>
          <w:color w:val="auto"/>
          <w:kern w:val="2"/>
          <w:sz w:val="32"/>
          <w:szCs w:val="32"/>
          <w:highlight w:val="yellow"/>
        </w:rPr>
        <w:t>不少于5人</w:t>
      </w:r>
      <w:r>
        <w:rPr>
          <w:rFonts w:hint="eastAsia" w:ascii="仿宋_GB2312" w:hAnsi="Times New Roman" w:eastAsia="仿宋_GB2312" w:cs="Times New Roman"/>
          <w:color w:val="auto"/>
          <w:kern w:val="2"/>
          <w:sz w:val="32"/>
          <w:szCs w:val="32"/>
          <w:highlight w:val="none"/>
        </w:rPr>
        <w:t>。专业学位授权点评议专家中，</w:t>
      </w:r>
      <w:r>
        <w:rPr>
          <w:rFonts w:hint="eastAsia" w:ascii="仿宋_GB2312" w:hAnsi="Times New Roman" w:eastAsia="仿宋_GB2312" w:cs="Times New Roman"/>
          <w:color w:val="auto"/>
          <w:kern w:val="2"/>
          <w:sz w:val="32"/>
          <w:szCs w:val="32"/>
          <w:highlight w:val="yellow"/>
        </w:rPr>
        <w:t>行业专家一般不少于专家</w:t>
      </w:r>
      <w:r>
        <w:rPr>
          <w:rFonts w:hint="eastAsia" w:ascii="仿宋_GB2312" w:eastAsia="仿宋_GB2312" w:cs="Times New Roman"/>
          <w:color w:val="auto"/>
          <w:kern w:val="2"/>
          <w:sz w:val="32"/>
          <w:szCs w:val="32"/>
          <w:highlight w:val="yellow"/>
        </w:rPr>
        <w:t>总</w:t>
      </w:r>
      <w:r>
        <w:rPr>
          <w:rFonts w:hint="eastAsia" w:ascii="仿宋_GB2312" w:hAnsi="Times New Roman" w:eastAsia="仿宋_GB2312" w:cs="Times New Roman"/>
          <w:color w:val="auto"/>
          <w:kern w:val="2"/>
          <w:sz w:val="32"/>
          <w:szCs w:val="32"/>
          <w:highlight w:val="yellow"/>
        </w:rPr>
        <w:t>人数的三分之一</w:t>
      </w:r>
      <w:r>
        <w:rPr>
          <w:rFonts w:hint="eastAsia" w:ascii="仿宋_GB2312" w:hAnsi="Times New Roman" w:eastAsia="仿宋_GB2312" w:cs="Times New Roman"/>
          <w:color w:val="auto"/>
          <w:kern w:val="2"/>
          <w:sz w:val="32"/>
          <w:szCs w:val="32"/>
          <w:highlight w:val="none"/>
        </w:rPr>
        <w:t>。</w:t>
      </w:r>
    </w:p>
    <w:p>
      <w:pPr>
        <w:pStyle w:val="3"/>
        <w:numPr>
          <w:ilvl w:val="0"/>
          <w:numId w:val="1"/>
        </w:numPr>
        <w:adjustRightInd w:val="0"/>
        <w:snapToGrid w:val="0"/>
        <w:spacing w:before="0" w:beforeAutospacing="0" w:after="0" w:afterAutospacing="0" w:line="560" w:lineRule="exact"/>
        <w:ind w:firstLine="640" w:firstLineChars="200"/>
        <w:jc w:val="both"/>
        <w:rPr>
          <w:rFonts w:ascii="仿宋_GB2312" w:eastAsia="仿宋_GB2312" w:cs="Times New Roman"/>
          <w:color w:val="auto"/>
          <w:kern w:val="2"/>
          <w:sz w:val="32"/>
          <w:szCs w:val="32"/>
          <w:highlight w:val="none"/>
        </w:rPr>
      </w:pPr>
      <w:r>
        <w:rPr>
          <w:rFonts w:hint="eastAsia" w:ascii="仿宋_GB2312" w:eastAsia="仿宋_GB2312" w:cs="Times New Roman"/>
          <w:color w:val="auto"/>
          <w:kern w:val="2"/>
          <w:sz w:val="32"/>
          <w:szCs w:val="32"/>
          <w:highlight w:val="none"/>
        </w:rPr>
        <w:t>材料组织。各单位根据最终确定的评估安排和要求，组织自我评估材料。评估材料应提前发送专家，根据专家意见，补充完善自评材料。</w:t>
      </w:r>
    </w:p>
    <w:p>
      <w:pPr>
        <w:pStyle w:val="3"/>
        <w:numPr>
          <w:ilvl w:val="0"/>
          <w:numId w:val="1"/>
        </w:numPr>
        <w:adjustRightInd w:val="0"/>
        <w:snapToGrid w:val="0"/>
        <w:spacing w:before="0" w:beforeAutospacing="0" w:after="0" w:afterAutospacing="0" w:line="560" w:lineRule="exact"/>
        <w:ind w:firstLine="640" w:firstLineChars="200"/>
        <w:jc w:val="both"/>
        <w:rPr>
          <w:rFonts w:ascii="仿宋_GB2312" w:eastAsia="仿宋_GB2312" w:cs="Times New Roman"/>
          <w:color w:val="auto"/>
          <w:kern w:val="2"/>
          <w:sz w:val="32"/>
          <w:szCs w:val="32"/>
          <w:highlight w:val="none"/>
        </w:rPr>
      </w:pPr>
      <w:r>
        <w:rPr>
          <w:rFonts w:hint="eastAsia" w:ascii="仿宋_GB2312" w:eastAsia="仿宋_GB2312" w:cs="Times New Roman"/>
          <w:color w:val="auto"/>
          <w:kern w:val="2"/>
          <w:sz w:val="32"/>
          <w:szCs w:val="32"/>
          <w:highlight w:val="none"/>
        </w:rPr>
        <w:t>专家评估。评估专家通过听取总体汇报、与师生和管理人员座谈、查阅有关资料等方式，了解学位授权点基本情况。专家组</w:t>
      </w:r>
      <w:r>
        <w:rPr>
          <w:rFonts w:hint="eastAsia" w:ascii="仿宋_GB2312" w:eastAsia="仿宋_GB2312" w:cs="Times New Roman"/>
          <w:color w:val="auto"/>
          <w:kern w:val="2"/>
          <w:sz w:val="32"/>
          <w:szCs w:val="32"/>
          <w:highlight w:val="none"/>
          <w:lang w:eastAsia="zh-CN"/>
        </w:rPr>
        <w:t>通过会议评议，</w:t>
      </w:r>
      <w:r>
        <w:rPr>
          <w:rFonts w:hint="eastAsia" w:ascii="仿宋_GB2312" w:eastAsia="仿宋_GB2312" w:cs="Times New Roman"/>
          <w:color w:val="auto"/>
          <w:kern w:val="2"/>
          <w:sz w:val="32"/>
          <w:szCs w:val="32"/>
          <w:highlight w:val="none"/>
        </w:rPr>
        <w:t>充分讨论，提出诊断式评议意见。专家评议意见应具有较强的针对性，从学位授权点建设的各个方面，指出其存在的问题与不足，并提出改进建议。</w:t>
      </w:r>
    </w:p>
    <w:p>
      <w:pPr>
        <w:pStyle w:val="3"/>
        <w:numPr>
          <w:ilvl w:val="0"/>
          <w:numId w:val="1"/>
        </w:numPr>
        <w:adjustRightInd w:val="0"/>
        <w:snapToGrid w:val="0"/>
        <w:spacing w:before="0" w:beforeAutospacing="0" w:after="0" w:afterAutospacing="0" w:line="560" w:lineRule="exact"/>
        <w:ind w:firstLine="640" w:firstLineChars="200"/>
        <w:jc w:val="both"/>
        <w:rPr>
          <w:rFonts w:ascii="仿宋_GB2312" w:eastAsia="仿宋_GB2312" w:cs="Times New Roman"/>
          <w:color w:val="auto"/>
          <w:kern w:val="2"/>
          <w:sz w:val="32"/>
          <w:szCs w:val="32"/>
          <w:highlight w:val="none"/>
        </w:rPr>
      </w:pPr>
      <w:r>
        <w:rPr>
          <w:rFonts w:hint="eastAsia" w:ascii="仿宋_GB2312" w:eastAsia="仿宋_GB2312" w:cs="Times New Roman"/>
          <w:color w:val="auto"/>
          <w:kern w:val="2"/>
          <w:sz w:val="32"/>
          <w:szCs w:val="32"/>
          <w:highlight w:val="none"/>
        </w:rPr>
        <w:t>改进提升。</w:t>
      </w:r>
      <w:r>
        <w:rPr>
          <w:rFonts w:ascii="仿宋_GB2312" w:eastAsia="仿宋_GB2312" w:cs="Times New Roman"/>
          <w:color w:val="auto"/>
          <w:kern w:val="2"/>
          <w:sz w:val="32"/>
          <w:szCs w:val="32"/>
          <w:highlight w:val="none"/>
        </w:rPr>
        <w:t>各学位授权点根据评估过程中发现的问题和不足，结合评估专家意见，制定改进提升方案，改进提升方案应具有可操作性，包括未来一段时间的发展目标和保障措施</w:t>
      </w:r>
      <w:r>
        <w:rPr>
          <w:rFonts w:hint="eastAsia" w:ascii="仿宋_GB2312" w:eastAsia="仿宋_GB2312" w:cs="Times New Roman"/>
          <w:color w:val="auto"/>
          <w:kern w:val="2"/>
          <w:sz w:val="32"/>
          <w:szCs w:val="32"/>
          <w:highlight w:val="none"/>
        </w:rPr>
        <w:t>等</w:t>
      </w:r>
      <w:r>
        <w:rPr>
          <w:rFonts w:ascii="仿宋_GB2312" w:eastAsia="仿宋_GB2312" w:cs="Times New Roman"/>
          <w:color w:val="auto"/>
          <w:kern w:val="2"/>
          <w:sz w:val="32"/>
          <w:szCs w:val="32"/>
          <w:highlight w:val="none"/>
        </w:rPr>
        <w:t>。</w:t>
      </w:r>
    </w:p>
    <w:p>
      <w:pPr>
        <w:pStyle w:val="3"/>
        <w:numPr>
          <w:ilvl w:val="0"/>
          <w:numId w:val="1"/>
        </w:numPr>
        <w:adjustRightInd w:val="0"/>
        <w:snapToGrid w:val="0"/>
        <w:spacing w:before="0" w:beforeAutospacing="0" w:after="0" w:afterAutospacing="0" w:line="560" w:lineRule="exact"/>
        <w:ind w:firstLine="640" w:firstLineChars="200"/>
        <w:jc w:val="both"/>
        <w:rPr>
          <w:rFonts w:ascii="仿宋_GB2312" w:eastAsia="仿宋_GB2312" w:cs="Times New Roman"/>
          <w:color w:val="auto"/>
          <w:kern w:val="2"/>
          <w:sz w:val="32"/>
          <w:szCs w:val="32"/>
          <w:highlight w:val="none"/>
        </w:rPr>
      </w:pPr>
      <w:r>
        <w:rPr>
          <w:rFonts w:ascii="仿宋_GB2312" w:eastAsia="仿宋_GB2312" w:cs="Times New Roman"/>
          <w:color w:val="auto"/>
          <w:kern w:val="2"/>
          <w:sz w:val="32"/>
          <w:szCs w:val="32"/>
          <w:highlight w:val="none"/>
        </w:rPr>
        <w:t>各学位授权点按照国家规定的撰写提纲和抽评要素，编写《</w:t>
      </w:r>
      <w:r>
        <w:rPr>
          <w:rFonts w:hint="eastAsia" w:ascii="仿宋_GB2312" w:eastAsia="仿宋_GB2312" w:cs="Times New Roman"/>
          <w:color w:val="auto"/>
          <w:kern w:val="2"/>
          <w:sz w:val="32"/>
          <w:szCs w:val="32"/>
          <w:highlight w:val="none"/>
        </w:rPr>
        <w:t>学位授权点</w:t>
      </w:r>
      <w:r>
        <w:rPr>
          <w:rFonts w:ascii="仿宋_GB2312" w:eastAsia="仿宋_GB2312" w:cs="Times New Roman"/>
          <w:color w:val="auto"/>
          <w:kern w:val="2"/>
          <w:sz w:val="32"/>
          <w:szCs w:val="32"/>
          <w:highlight w:val="none"/>
        </w:rPr>
        <w:t>自我评估总结报告》。</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五、评估内容</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自我评估是对学位授权点水平和人才培养质量的全面检查，各学院（学部、系）应根据本单位办学定位和研究生培养质量标准，制定符合本学科或专业学位类别特点、有学校特色的自我评估指标体系。从目标定位、研究方向、师资队伍、学科方向、人才培养数量质量和特色、科学研究、社会服务、学术交流、条件建设和制度保障等方面，真实、准确考察学位授权点的目标达成度。</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六、时间安排及工作流程</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（一）学校准备阶段：2021年3月-2021年4月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 xml:space="preserve">学校根据国家文件精神和实际情况，制定学位授权点自我评估工作方案、指标体系等。 </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（二）自我建设与评估阶段：2021年5月-2024年12月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1.学位点准备阶段：</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（1）2021年5月-2021年12月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各学位授权点根据学校整体评估工作方案和指标体系，结合本学位点实际情况，进一步明确学位点建设目标，制定本学位点评估实施细则和指标体系，并报研究生院审批后公布实施。各学位点制定的评估标准不得低于国家和学校标准。学位点准备充分后，可向学校提出参与评估的申请。</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（2）2022年1月-各学位点参加评估前</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各学位点在参加评估前，均应按照学位点建设目标，进一步加强内涵建设，积极做好评估准备。</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2.试点评估阶段：2022年3月-2022年8月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在3个学位授权点（环境科学与工程博士学位授权点、哲学硕士学位授权点、公共管理硕士专业学位授权点）进行试点评估。根据试点情况，调整、完善评估方案、指标体系等。</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3.全面实施阶段：2022年9月-2023年12月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（1）结合学校工作安排和学位授权点申请情况，确定每批评估学位授权点名单。</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（2）各学位授权点根据评估方式及程序要求开展自我评估。</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4.总结整改阶段：2024年1月-2024年12月</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各学位授权点根据评估过程中发现的问题和不足，结合评估专家意见，制定改进提升方案，积极开展整改工作，加强学位授权点内涵建设。同时，完成《学位授权点自我评估总结报告》。</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（三）随机抽评阶段：2025年</w:t>
      </w:r>
    </w:p>
    <w:p>
      <w:pPr>
        <w:widowControl/>
        <w:adjustRightInd w:val="0"/>
        <w:snapToGrid w:val="0"/>
        <w:spacing w:line="560" w:lineRule="exact"/>
        <w:ind w:firstLine="640" w:firstLineChars="200"/>
        <w:jc w:val="left"/>
        <w:rPr>
          <w:rFonts w:hint="eastAsia" w:ascii="仿宋_GB2312" w:eastAsia="仿宋_GB2312"/>
          <w:szCs w:val="32"/>
          <w:highlight w:val="none"/>
        </w:rPr>
      </w:pPr>
      <w:r>
        <w:rPr>
          <w:rFonts w:hint="eastAsia" w:ascii="仿宋_GB2312" w:eastAsia="仿宋_GB2312"/>
          <w:szCs w:val="32"/>
          <w:highlight w:val="none"/>
        </w:rPr>
        <w:t>按照国务院学位委员会办公室和江苏省学位委员会的要求，配合做好抽评工作。</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七、评估结果</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校学校学位评定委员会根据专家评议意见确定学位授权点自我评估结果，学位授权点评估结果分为“合格”和“不合格”。评估为“不合格”的学位点须根据专家意见限期整改。</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被教育行政部门抽评的学位授权点，其评估结果按照抽评结果认定。</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kern w:val="2"/>
          <w:sz w:val="32"/>
          <w:szCs w:val="32"/>
          <w:highlight w:val="none"/>
        </w:rPr>
      </w:pPr>
      <w:r>
        <w:rPr>
          <w:rFonts w:hint="eastAsia" w:ascii="仿宋_GB2312" w:hAnsi="Times New Roman" w:eastAsia="仿宋_GB2312" w:cs="Times New Roman"/>
          <w:kern w:val="2"/>
          <w:sz w:val="32"/>
          <w:szCs w:val="32"/>
          <w:highlight w:val="none"/>
        </w:rPr>
        <w:t>需参加评估而未开展评估的学位授权点，按“不合格”认定。</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学校根据评估结果，结合社会需求和学校自身发展规划，按照学位授权点动态调整有关办法提出学位授权点动态调整处理意见。</w:t>
      </w:r>
    </w:p>
    <w:p>
      <w:pPr>
        <w:pStyle w:val="3"/>
        <w:adjustRightInd w:val="0"/>
        <w:snapToGrid w:val="0"/>
        <w:spacing w:before="0" w:beforeAutospacing="0" w:after="0" w:afterAutospacing="0" w:line="560" w:lineRule="exact"/>
        <w:ind w:firstLine="643" w:firstLineChars="200"/>
        <w:jc w:val="both"/>
        <w:rPr>
          <w:rFonts w:hint="eastAsia" w:ascii="仿宋_GB2312" w:hAnsi="Times New Roman" w:eastAsia="仿宋_GB2312" w:cs="Times New Roman"/>
          <w:b/>
          <w:bCs/>
          <w:color w:val="auto"/>
          <w:kern w:val="2"/>
          <w:sz w:val="32"/>
          <w:szCs w:val="32"/>
          <w:highlight w:val="none"/>
        </w:rPr>
      </w:pPr>
      <w:r>
        <w:rPr>
          <w:rFonts w:hint="eastAsia" w:ascii="仿宋_GB2312" w:hAnsi="Times New Roman" w:eastAsia="仿宋_GB2312" w:cs="Times New Roman"/>
          <w:b/>
          <w:bCs/>
          <w:color w:val="auto"/>
          <w:kern w:val="2"/>
          <w:sz w:val="32"/>
          <w:szCs w:val="32"/>
          <w:highlight w:val="none"/>
        </w:rPr>
        <w:t>八、其他</w:t>
      </w:r>
    </w:p>
    <w:p>
      <w:pPr>
        <w:pStyle w:val="3"/>
        <w:adjustRightInd w:val="0"/>
        <w:snapToGrid w:val="0"/>
        <w:spacing w:before="0" w:beforeAutospacing="0" w:after="0" w:afterAutospacing="0" w:line="560" w:lineRule="exact"/>
        <w:ind w:firstLine="640" w:firstLineChars="200"/>
        <w:jc w:val="both"/>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一）高度重视。学位授权点合格评估是对各学位授权点的全面体检，评估是手段、诊断是目的，重在发现问题、解决问题。各学院（学部、系）务必高度重视，加强对评估工作的组织领导，避免评估走过场、形式化，确保自我评估达到预期效果。</w:t>
      </w:r>
    </w:p>
    <w:p>
      <w:pPr>
        <w:pStyle w:val="3"/>
        <w:adjustRightInd w:val="0"/>
        <w:snapToGrid w:val="0"/>
        <w:spacing w:before="0" w:beforeAutospacing="0" w:after="0" w:afterAutospacing="0" w:line="560" w:lineRule="exact"/>
        <w:ind w:firstLine="640" w:firstLineChars="200"/>
        <w:jc w:val="both"/>
        <w:rPr>
          <w:rFonts w:hint="eastAsia" w:ascii="仿宋_GB2312" w:eastAsia="仿宋_GB2312"/>
          <w:szCs w:val="32"/>
          <w:highlight w:val="none"/>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eastAsia="zh-CN"/>
        </w:rPr>
        <w:t>二</w:t>
      </w:r>
      <w:r>
        <w:rPr>
          <w:rFonts w:hint="eastAsia" w:ascii="仿宋_GB2312" w:hAnsi="Times New Roman" w:eastAsia="仿宋_GB2312" w:cs="Times New Roman"/>
          <w:color w:val="auto"/>
          <w:kern w:val="2"/>
          <w:sz w:val="32"/>
          <w:szCs w:val="32"/>
          <w:highlight w:val="none"/>
        </w:rPr>
        <w:t>）严守纪律。各学院（学部、系）要严明评估纪律，坚决排除非学术因素的干扰，保证自我评估公平公正。对违反评估纪律和材料作假的单位和人员将进行严肃处理。</w:t>
      </w:r>
    </w:p>
    <w:p>
      <w:pPr>
        <w:spacing w:line="560" w:lineRule="exact"/>
        <w:ind w:firstLine="640" w:firstLineChars="200"/>
        <w:rPr>
          <w:rFonts w:hint="eastAsia" w:ascii="仿宋_GB2312" w:eastAsia="仿宋_GB2312"/>
          <w:szCs w:val="32"/>
          <w:highlight w:val="none"/>
        </w:rPr>
      </w:pPr>
      <w:r>
        <w:rPr>
          <w:rFonts w:hint="eastAsia" w:ascii="仿宋_GB2312" w:eastAsia="仿宋_GB2312"/>
          <w:szCs w:val="32"/>
          <w:highlight w:val="none"/>
        </w:rPr>
        <w:t>附件：河海大学2020-2025年学位授权点自我评估指标体系</w:t>
      </w:r>
    </w:p>
    <w:p>
      <w:pPr>
        <w:spacing w:line="560" w:lineRule="exact"/>
        <w:rPr>
          <w:rFonts w:hint="eastAsia" w:ascii="仿宋_GB2312" w:eastAsia="仿宋_GB2312"/>
          <w:szCs w:val="32"/>
          <w:highlight w:val="none"/>
        </w:rPr>
      </w:pPr>
    </w:p>
    <w:p>
      <w:pPr>
        <w:spacing w:line="560" w:lineRule="exact"/>
        <w:rPr>
          <w:rFonts w:hint="eastAsia" w:ascii="仿宋_GB2312" w:eastAsia="仿宋_GB2312"/>
          <w:szCs w:val="32"/>
          <w:highlight w:val="none"/>
        </w:rPr>
      </w:pPr>
    </w:p>
    <w:p>
      <w:pPr>
        <w:spacing w:line="560" w:lineRule="exact"/>
        <w:rPr>
          <w:rFonts w:hint="eastAsia" w:ascii="黑体" w:eastAsia="仿宋_GB2312"/>
          <w:b w:val="0"/>
          <w:bCs w:val="0"/>
          <w:szCs w:val="32"/>
          <w:highlight w:val="none"/>
        </w:rPr>
      </w:pPr>
      <w:r>
        <w:rPr>
          <w:rFonts w:hint="eastAsia" w:ascii="仿宋_GB2312" w:eastAsia="仿宋_GB2312"/>
          <w:b w:val="0"/>
          <w:bCs w:val="0"/>
          <w:szCs w:val="32"/>
          <w:highlight w:val="none"/>
        </w:rPr>
        <w:t>附件</w:t>
      </w:r>
    </w:p>
    <w:p>
      <w:pPr>
        <w:spacing w:line="560" w:lineRule="exact"/>
        <w:jc w:val="center"/>
        <w:rPr>
          <w:rFonts w:hint="eastAsia" w:ascii="仿宋_GB2312" w:hAnsi="仿宋_GB2312" w:eastAsia="仿宋_GB2312" w:cs="仿宋_GB2312"/>
          <w:b/>
          <w:szCs w:val="32"/>
          <w:highlight w:val="none"/>
        </w:rPr>
      </w:pPr>
      <w:r>
        <w:rPr>
          <w:rFonts w:hint="eastAsia" w:ascii="仿宋_GB2312" w:hAnsi="仿宋_GB2312" w:eastAsia="仿宋_GB2312" w:cs="仿宋_GB2312"/>
          <w:b/>
          <w:szCs w:val="32"/>
          <w:highlight w:val="none"/>
        </w:rPr>
        <w:t>河海大学2020-2025年学位授权点自我评估指标体系</w:t>
      </w:r>
    </w:p>
    <w:p>
      <w:pPr>
        <w:spacing w:line="560" w:lineRule="exact"/>
        <w:jc w:val="left"/>
        <w:rPr>
          <w:rFonts w:ascii="宋体" w:hAnsi="宋体"/>
          <w:b/>
          <w:sz w:val="24"/>
          <w:szCs w:val="32"/>
          <w:highlight w:val="none"/>
        </w:rPr>
      </w:pPr>
      <w:r>
        <w:rPr>
          <w:rFonts w:hint="eastAsia" w:ascii="宋体" w:hAnsi="宋体"/>
          <w:b/>
          <w:sz w:val="24"/>
          <w:szCs w:val="32"/>
          <w:highlight w:val="none"/>
        </w:rPr>
        <w:t>一、学术学位授权点</w:t>
      </w:r>
    </w:p>
    <w:tbl>
      <w:tblPr>
        <w:tblStyle w:val="4"/>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91"/>
        <w:gridCol w:w="7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一级要素</w:t>
            </w:r>
          </w:p>
        </w:tc>
        <w:tc>
          <w:tcPr>
            <w:tcW w:w="1591"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二级要素</w:t>
            </w:r>
          </w:p>
        </w:tc>
        <w:tc>
          <w:tcPr>
            <w:tcW w:w="7446"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目标与标准</w:t>
            </w: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1</w:t>
            </w:r>
            <w:r>
              <w:rPr>
                <w:rFonts w:ascii="宋体" w:hAnsi="宋体"/>
                <w:color w:val="auto"/>
                <w:sz w:val="21"/>
                <w:szCs w:val="21"/>
                <w:highlight w:val="none"/>
              </w:rPr>
              <w:t>培养目标</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本学位点培养研究生的目标定位。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2</w:t>
            </w:r>
            <w:r>
              <w:rPr>
                <w:rFonts w:ascii="宋体" w:hAnsi="宋体"/>
                <w:color w:val="auto"/>
                <w:sz w:val="21"/>
                <w:szCs w:val="21"/>
                <w:highlight w:val="none"/>
              </w:rPr>
              <w:t>学位标准</w:t>
            </w:r>
          </w:p>
        </w:tc>
        <w:tc>
          <w:tcPr>
            <w:tcW w:w="744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符合本学科特点，与本单位办学定位及特色相一致的学位授予质量标准的制定及执行情况。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restart"/>
            <w:vAlign w:val="center"/>
          </w:tcPr>
          <w:p>
            <w:pPr>
              <w:snapToGrid w:val="0"/>
              <w:spacing w:line="320" w:lineRule="exact"/>
              <w:rPr>
                <w:rFonts w:ascii="宋体" w:hAnsi="宋体"/>
                <w:color w:val="auto"/>
                <w:sz w:val="21"/>
                <w:szCs w:val="21"/>
                <w:highlight w:val="none"/>
              </w:rPr>
            </w:pPr>
          </w:p>
          <w:p>
            <w:pPr>
              <w:spacing w:line="320" w:lineRule="exact"/>
              <w:rPr>
                <w:rFonts w:ascii="宋体" w:hAnsi="宋体"/>
                <w:color w:val="auto"/>
                <w:sz w:val="21"/>
                <w:szCs w:val="21"/>
                <w:highlight w:val="none"/>
              </w:rPr>
            </w:pPr>
            <w:r>
              <w:rPr>
                <w:rFonts w:hint="eastAsia" w:ascii="宋体" w:hAnsi="宋体"/>
                <w:color w:val="auto"/>
                <w:sz w:val="21"/>
                <w:szCs w:val="21"/>
                <w:highlight w:val="none"/>
              </w:rPr>
              <w:t>2基本条件</w:t>
            </w: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2.1</w:t>
            </w:r>
            <w:r>
              <w:rPr>
                <w:rFonts w:ascii="宋体" w:hAnsi="宋体"/>
                <w:color w:val="auto"/>
                <w:sz w:val="21"/>
                <w:szCs w:val="21"/>
                <w:highlight w:val="none"/>
              </w:rPr>
              <w:t>培养方向</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本学位点的主要培养方向简介。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2</w:t>
            </w:r>
            <w:r>
              <w:rPr>
                <w:rFonts w:ascii="宋体" w:hAnsi="宋体"/>
                <w:color w:val="auto"/>
                <w:sz w:val="21"/>
                <w:szCs w:val="21"/>
                <w:highlight w:val="none"/>
              </w:rPr>
              <w:t>师资队伍</w:t>
            </w:r>
          </w:p>
        </w:tc>
        <w:tc>
          <w:tcPr>
            <w:tcW w:w="7446" w:type="dxa"/>
            <w:vAlign w:val="center"/>
          </w:tcPr>
          <w:p>
            <w:pPr>
              <w:snapToGrid w:val="0"/>
              <w:spacing w:line="32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各培养方向带头人</w:t>
            </w:r>
            <w:r>
              <w:rPr>
                <w:rFonts w:hint="eastAsia" w:ascii="宋体" w:hAnsi="宋体"/>
                <w:color w:val="auto"/>
                <w:sz w:val="21"/>
                <w:szCs w:val="21"/>
                <w:highlight w:val="none"/>
              </w:rPr>
              <w:t>与学术骨干</w:t>
            </w:r>
            <w:r>
              <w:rPr>
                <w:rFonts w:ascii="宋体" w:hAnsi="宋体"/>
                <w:color w:val="auto"/>
                <w:sz w:val="21"/>
                <w:szCs w:val="21"/>
                <w:highlight w:val="none"/>
              </w:rPr>
              <w:t>、主要师资队伍情况</w:t>
            </w:r>
            <w:r>
              <w:rPr>
                <w:rFonts w:hint="eastAsia" w:ascii="宋体" w:hAnsi="宋体"/>
                <w:color w:val="auto"/>
                <w:sz w:val="21"/>
                <w:szCs w:val="21"/>
                <w:highlight w:val="none"/>
                <w:lang w:eastAsia="zh-CN"/>
              </w:rPr>
              <w:t>，师风师德建设成效</w:t>
            </w:r>
            <w:r>
              <w:rPr>
                <w:rFonts w:ascii="宋体" w:hAnsi="宋体"/>
                <w:color w:val="auto"/>
                <w:sz w:val="21"/>
                <w:szCs w:val="21"/>
                <w:highlight w:val="none"/>
              </w:rPr>
              <w:t>。</w:t>
            </w:r>
            <w:r>
              <w:rPr>
                <w:rFonts w:hint="eastAsia" w:ascii="宋体" w:hAnsi="宋体"/>
                <w:color w:val="auto"/>
                <w:sz w:val="21"/>
                <w:szCs w:val="21"/>
                <w:highlight w:val="none"/>
                <w:lang w:eastAsia="zh-CN"/>
              </w:rPr>
              <w:t>师资队伍结构质量与代表性教师质量相结合的评价方式。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2.3</w:t>
            </w:r>
            <w:r>
              <w:rPr>
                <w:rFonts w:ascii="宋体" w:hAnsi="宋体"/>
                <w:color w:val="auto"/>
                <w:sz w:val="21"/>
                <w:szCs w:val="21"/>
                <w:highlight w:val="none"/>
              </w:rPr>
              <w:t>科学研究</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w:t>
            </w:r>
            <w:r>
              <w:rPr>
                <w:rFonts w:hint="eastAsia" w:ascii="宋体" w:hAnsi="宋体"/>
                <w:color w:val="auto"/>
                <w:sz w:val="21"/>
                <w:szCs w:val="21"/>
                <w:highlight w:val="none"/>
              </w:rPr>
              <w:t>近5年</w:t>
            </w:r>
            <w:r>
              <w:rPr>
                <w:rFonts w:ascii="宋体" w:hAnsi="宋体"/>
                <w:color w:val="auto"/>
                <w:sz w:val="21"/>
                <w:szCs w:val="21"/>
                <w:highlight w:val="none"/>
              </w:rPr>
              <w:t>已完成的主要科研项目</w:t>
            </w:r>
            <w:r>
              <w:rPr>
                <w:rFonts w:hint="eastAsia" w:ascii="宋体" w:hAnsi="宋体"/>
                <w:color w:val="auto"/>
                <w:sz w:val="21"/>
                <w:szCs w:val="21"/>
                <w:highlight w:val="none"/>
                <w:lang w:eastAsia="zh-CN"/>
              </w:rPr>
              <w:t>、科研获奖情况，</w:t>
            </w:r>
            <w:r>
              <w:rPr>
                <w:rFonts w:ascii="宋体" w:hAnsi="宋体"/>
                <w:color w:val="auto"/>
                <w:sz w:val="21"/>
                <w:szCs w:val="21"/>
                <w:highlight w:val="none"/>
              </w:rPr>
              <w:t>以及在研项目情况。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4</w:t>
            </w:r>
            <w:r>
              <w:rPr>
                <w:rFonts w:ascii="宋体" w:hAnsi="宋体"/>
                <w:color w:val="auto"/>
                <w:sz w:val="21"/>
                <w:szCs w:val="21"/>
                <w:highlight w:val="none"/>
              </w:rPr>
              <w:t>教学科研支撑</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本学位点支撑研究生学习、科研的平台</w:t>
            </w:r>
            <w:r>
              <w:rPr>
                <w:rFonts w:hint="eastAsia" w:ascii="宋体" w:hAnsi="宋体"/>
                <w:color w:val="auto"/>
                <w:sz w:val="21"/>
                <w:szCs w:val="21"/>
                <w:highlight w:val="none"/>
                <w:lang w:eastAsia="zh-CN"/>
              </w:rPr>
              <w:t>及重大仪器设备</w:t>
            </w:r>
            <w:r>
              <w:rPr>
                <w:rFonts w:ascii="宋体" w:hAnsi="宋体"/>
                <w:color w:val="auto"/>
                <w:sz w:val="21"/>
                <w:szCs w:val="21"/>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lang w:val="zh-CN"/>
              </w:rPr>
              <w:t>.</w:t>
            </w:r>
            <w:r>
              <w:rPr>
                <w:rFonts w:hint="eastAsia" w:ascii="宋体" w:hAnsi="宋体"/>
                <w:color w:val="auto"/>
                <w:sz w:val="21"/>
                <w:szCs w:val="21"/>
                <w:highlight w:val="none"/>
              </w:rPr>
              <w:t>5</w:t>
            </w:r>
            <w:r>
              <w:rPr>
                <w:rFonts w:ascii="宋体" w:hAnsi="宋体"/>
                <w:color w:val="auto"/>
                <w:sz w:val="21"/>
                <w:szCs w:val="21"/>
                <w:highlight w:val="none"/>
                <w:lang w:val="zh-CN"/>
              </w:rPr>
              <w:t>奖助体系</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本学位点研究生奖助体系的制度建设、奖助水平、覆盖面等情况。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3人才培养</w:t>
            </w: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lang w:val="zh-CN"/>
              </w:rPr>
              <w:t>.1招生选拔</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lang w:val="zh-CN"/>
              </w:rPr>
              <w:t>学位授权点研究生报考数量、录取比例、录取人数、生源结构情况，以及为保证生源质量采取的措施。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3.2思政教育</w:t>
            </w:r>
          </w:p>
        </w:tc>
        <w:tc>
          <w:tcPr>
            <w:tcW w:w="744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思想政治理论课开设、课程思政、研究生辅导员队伍建设、研究生党建工作</w:t>
            </w:r>
            <w:r>
              <w:rPr>
                <w:rFonts w:hint="eastAsia" w:ascii="宋体" w:hAnsi="宋体"/>
                <w:color w:val="auto"/>
                <w:sz w:val="21"/>
                <w:szCs w:val="21"/>
                <w:highlight w:val="none"/>
                <w:lang w:eastAsia="zh-CN"/>
              </w:rPr>
              <w:t>、社会实践开展、意识形态阵地管理</w:t>
            </w:r>
            <w:r>
              <w:rPr>
                <w:rFonts w:hint="eastAsia" w:ascii="宋体" w:hAnsi="宋体"/>
                <w:color w:val="auto"/>
                <w:sz w:val="21"/>
                <w:szCs w:val="21"/>
                <w:highlight w:val="none"/>
              </w:rPr>
              <w:t>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lang w:val="zh-CN"/>
              </w:rPr>
              <w:t>.</w:t>
            </w:r>
            <w:r>
              <w:rPr>
                <w:rFonts w:hint="eastAsia" w:ascii="宋体" w:hAnsi="宋体"/>
                <w:color w:val="auto"/>
                <w:sz w:val="21"/>
                <w:szCs w:val="21"/>
                <w:highlight w:val="none"/>
              </w:rPr>
              <w:t>3</w:t>
            </w:r>
            <w:r>
              <w:rPr>
                <w:rFonts w:ascii="宋体" w:hAnsi="宋体"/>
                <w:color w:val="auto"/>
                <w:sz w:val="21"/>
                <w:szCs w:val="21"/>
                <w:highlight w:val="none"/>
                <w:lang w:val="zh-CN"/>
              </w:rPr>
              <w:t>课程教学</w:t>
            </w:r>
          </w:p>
        </w:tc>
        <w:tc>
          <w:tcPr>
            <w:tcW w:w="7446" w:type="dxa"/>
            <w:vAlign w:val="center"/>
          </w:tcPr>
          <w:p>
            <w:pPr>
              <w:snapToGrid w:val="0"/>
              <w:spacing w:line="32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本学位点开设的核心课程及主讲教师。</w:t>
            </w:r>
            <w:r>
              <w:rPr>
                <w:rFonts w:hint="eastAsia" w:ascii="宋体" w:hAnsi="宋体"/>
                <w:color w:val="auto"/>
                <w:sz w:val="21"/>
                <w:szCs w:val="21"/>
                <w:highlight w:val="none"/>
              </w:rPr>
              <w:t>课程教学质量</w:t>
            </w:r>
            <w:r>
              <w:rPr>
                <w:rFonts w:hint="eastAsia" w:ascii="宋体" w:hAnsi="宋体"/>
                <w:color w:val="auto"/>
                <w:sz w:val="21"/>
                <w:szCs w:val="21"/>
                <w:highlight w:val="none"/>
                <w:lang w:eastAsia="zh-CN"/>
              </w:rPr>
              <w:t>、学生满意度</w:t>
            </w:r>
            <w:r>
              <w:rPr>
                <w:rFonts w:ascii="宋体" w:hAnsi="宋体"/>
                <w:color w:val="auto"/>
                <w:sz w:val="21"/>
                <w:szCs w:val="21"/>
                <w:highlight w:val="none"/>
              </w:rPr>
              <w:t>和持续改进机制</w:t>
            </w:r>
            <w:r>
              <w:rPr>
                <w:rFonts w:hint="eastAsia" w:ascii="宋体" w:hAnsi="宋体"/>
                <w:color w:val="auto"/>
                <w:sz w:val="21"/>
                <w:szCs w:val="21"/>
                <w:highlight w:val="none"/>
              </w:rPr>
              <w:t>，教材建设情况</w:t>
            </w:r>
            <w:r>
              <w:rPr>
                <w:rFonts w:hint="eastAsia" w:ascii="宋体" w:hAnsi="宋体"/>
                <w:color w:val="auto"/>
                <w:sz w:val="21"/>
                <w:szCs w:val="21"/>
                <w:highlight w:val="none"/>
                <w:lang w:eastAsia="zh-CN"/>
              </w:rPr>
              <w:t>及代表性教材质量</w:t>
            </w:r>
            <w:r>
              <w:rPr>
                <w:rFonts w:ascii="宋体" w:hAnsi="宋体"/>
                <w:color w:val="auto"/>
                <w:sz w:val="21"/>
                <w:szCs w:val="21"/>
                <w:highlight w:val="none"/>
              </w:rPr>
              <w:t>。</w:t>
            </w:r>
            <w:r>
              <w:rPr>
                <w:rFonts w:hint="eastAsia" w:ascii="宋体" w:hAnsi="宋体"/>
                <w:color w:val="auto"/>
                <w:sz w:val="21"/>
                <w:szCs w:val="21"/>
                <w:highlight w:val="none"/>
                <w:lang w:eastAsia="zh-CN"/>
              </w:rPr>
              <w:t>教学获奖情况。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lang w:val="zh-CN"/>
              </w:rPr>
              <w:t>.</w:t>
            </w:r>
            <w:r>
              <w:rPr>
                <w:rFonts w:hint="eastAsia" w:ascii="宋体" w:hAnsi="宋体"/>
                <w:color w:val="auto"/>
                <w:sz w:val="21"/>
                <w:szCs w:val="21"/>
                <w:highlight w:val="none"/>
              </w:rPr>
              <w:t>4</w:t>
            </w:r>
            <w:r>
              <w:rPr>
                <w:rFonts w:ascii="宋体" w:hAnsi="宋体"/>
                <w:color w:val="auto"/>
                <w:sz w:val="21"/>
                <w:szCs w:val="21"/>
                <w:highlight w:val="none"/>
                <w:lang w:val="zh-CN"/>
              </w:rPr>
              <w:t>导师指导</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导师队伍的选聘、培训、考核情况</w:t>
            </w:r>
            <w:r>
              <w:rPr>
                <w:rFonts w:hint="eastAsia" w:ascii="宋体" w:hAnsi="宋体"/>
                <w:color w:val="auto"/>
                <w:sz w:val="21"/>
                <w:szCs w:val="21"/>
                <w:highlight w:val="none"/>
              </w:rPr>
              <w:t>，</w:t>
            </w:r>
            <w:r>
              <w:rPr>
                <w:rFonts w:ascii="宋体" w:hAnsi="宋体"/>
                <w:color w:val="auto"/>
                <w:sz w:val="21"/>
                <w:szCs w:val="21"/>
                <w:highlight w:val="none"/>
              </w:rPr>
              <w:t>导师指导研究生的制度要求和执行情况</w:t>
            </w:r>
            <w:r>
              <w:rPr>
                <w:rFonts w:hint="eastAsia" w:ascii="宋体" w:hAnsi="宋体"/>
                <w:color w:val="auto"/>
                <w:sz w:val="21"/>
                <w:szCs w:val="21"/>
                <w:highlight w:val="none"/>
              </w:rPr>
              <w:t>，博士生导师岗位管理制度建设和落实情况。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lang w:val="zh-CN"/>
              </w:rPr>
            </w:pPr>
            <w:r>
              <w:rPr>
                <w:rFonts w:hint="eastAsia" w:ascii="宋体" w:hAnsi="宋体"/>
                <w:color w:val="auto"/>
                <w:sz w:val="21"/>
                <w:szCs w:val="21"/>
                <w:highlight w:val="none"/>
              </w:rPr>
              <w:t>3</w:t>
            </w:r>
            <w:r>
              <w:rPr>
                <w:rFonts w:ascii="宋体" w:hAnsi="宋体"/>
                <w:color w:val="auto"/>
                <w:sz w:val="21"/>
                <w:szCs w:val="21"/>
                <w:highlight w:val="none"/>
                <w:lang w:val="zh-CN"/>
              </w:rPr>
              <w:t>.</w:t>
            </w:r>
            <w:r>
              <w:rPr>
                <w:rFonts w:hint="eastAsia" w:ascii="宋体" w:hAnsi="宋体"/>
                <w:color w:val="auto"/>
                <w:sz w:val="21"/>
                <w:szCs w:val="21"/>
                <w:highlight w:val="none"/>
              </w:rPr>
              <w:t>5</w:t>
            </w:r>
            <w:r>
              <w:rPr>
                <w:rFonts w:ascii="宋体" w:hAnsi="宋体"/>
                <w:color w:val="auto"/>
                <w:sz w:val="21"/>
                <w:szCs w:val="21"/>
                <w:highlight w:val="none"/>
                <w:lang w:val="zh-CN"/>
              </w:rPr>
              <w:t>学术训练</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研究生参与学术训练</w:t>
            </w:r>
            <w:r>
              <w:rPr>
                <w:rFonts w:hint="eastAsia" w:ascii="宋体" w:hAnsi="宋体"/>
                <w:color w:val="auto"/>
                <w:sz w:val="21"/>
                <w:szCs w:val="21"/>
                <w:highlight w:val="none"/>
              </w:rPr>
              <w:t>及科教融合培养研究生成效</w:t>
            </w:r>
            <w:r>
              <w:rPr>
                <w:rFonts w:ascii="宋体" w:hAnsi="宋体"/>
                <w:color w:val="auto"/>
                <w:sz w:val="21"/>
                <w:szCs w:val="21"/>
                <w:highlight w:val="none"/>
              </w:rPr>
              <w:t>，包括制度保证、经费支持等。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lang w:val="zh-CN"/>
              </w:rPr>
            </w:pPr>
            <w:r>
              <w:rPr>
                <w:rFonts w:hint="eastAsia" w:ascii="宋体" w:hAnsi="宋体"/>
                <w:color w:val="auto"/>
                <w:sz w:val="21"/>
                <w:szCs w:val="21"/>
                <w:highlight w:val="none"/>
              </w:rPr>
              <w:t>3</w:t>
            </w:r>
            <w:r>
              <w:rPr>
                <w:rFonts w:ascii="宋体" w:hAnsi="宋体"/>
                <w:color w:val="auto"/>
                <w:sz w:val="21"/>
                <w:szCs w:val="21"/>
                <w:highlight w:val="none"/>
                <w:lang w:val="zh-CN"/>
              </w:rPr>
              <w:t>.</w:t>
            </w:r>
            <w:r>
              <w:rPr>
                <w:rFonts w:hint="eastAsia" w:ascii="宋体" w:hAnsi="宋体"/>
                <w:color w:val="auto"/>
                <w:sz w:val="21"/>
                <w:szCs w:val="21"/>
                <w:highlight w:val="none"/>
              </w:rPr>
              <w:t>6</w:t>
            </w:r>
            <w:r>
              <w:rPr>
                <w:rFonts w:ascii="宋体" w:hAnsi="宋体"/>
                <w:color w:val="auto"/>
                <w:sz w:val="21"/>
                <w:szCs w:val="21"/>
                <w:highlight w:val="none"/>
                <w:lang w:val="zh-CN"/>
              </w:rPr>
              <w:t>学术交流</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研究生参与国际国内学术交流的基本情况。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3.7论文质量</w:t>
            </w:r>
          </w:p>
        </w:tc>
        <w:tc>
          <w:tcPr>
            <w:tcW w:w="744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体现本学科特点的学位论文规范、评阅规则和核查办法的制定及执行情况。本学位点学位论文在各类论文抽检、评审中的情况和论文质量分析。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lang w:val="zh-CN"/>
              </w:rPr>
            </w:pPr>
            <w:r>
              <w:rPr>
                <w:rFonts w:hint="eastAsia" w:ascii="宋体" w:hAnsi="宋体"/>
                <w:color w:val="auto"/>
                <w:sz w:val="21"/>
                <w:szCs w:val="21"/>
                <w:highlight w:val="none"/>
              </w:rPr>
              <w:t>3.8质量保证</w:t>
            </w:r>
          </w:p>
        </w:tc>
        <w:tc>
          <w:tcPr>
            <w:tcW w:w="744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培养全过程监控与质量保证、加强学位论文和学位授予管理、强化指导教师质量管控责任、分流淘汰机制等情况</w:t>
            </w:r>
            <w:r>
              <w:rPr>
                <w:rFonts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9</w:t>
            </w:r>
            <w:r>
              <w:rPr>
                <w:rFonts w:ascii="宋体" w:hAnsi="宋体"/>
                <w:color w:val="auto"/>
                <w:sz w:val="21"/>
                <w:szCs w:val="21"/>
                <w:highlight w:val="none"/>
              </w:rPr>
              <w:t>学风</w:t>
            </w:r>
            <w:r>
              <w:rPr>
                <w:rFonts w:hint="eastAsia" w:ascii="宋体" w:hAnsi="宋体"/>
                <w:color w:val="auto"/>
                <w:sz w:val="21"/>
                <w:szCs w:val="21"/>
                <w:highlight w:val="none"/>
              </w:rPr>
              <w:t>建设</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本学位点科学道德和学术规范教育</w:t>
            </w:r>
            <w:r>
              <w:rPr>
                <w:rFonts w:hint="eastAsia" w:ascii="宋体" w:hAnsi="宋体"/>
                <w:color w:val="auto"/>
                <w:sz w:val="21"/>
                <w:szCs w:val="21"/>
                <w:highlight w:val="none"/>
              </w:rPr>
              <w:t>开展</w:t>
            </w:r>
            <w:r>
              <w:rPr>
                <w:rFonts w:ascii="宋体" w:hAnsi="宋体"/>
                <w:color w:val="auto"/>
                <w:sz w:val="21"/>
                <w:szCs w:val="21"/>
                <w:highlight w:val="none"/>
              </w:rPr>
              <w:t>情况，学术不端行为</w:t>
            </w:r>
            <w:r>
              <w:rPr>
                <w:rFonts w:hint="eastAsia" w:ascii="宋体" w:hAnsi="宋体"/>
                <w:color w:val="auto"/>
                <w:sz w:val="21"/>
                <w:szCs w:val="21"/>
                <w:highlight w:val="none"/>
              </w:rPr>
              <w:t>处理</w:t>
            </w:r>
            <w:r>
              <w:rPr>
                <w:rFonts w:ascii="宋体" w:hAnsi="宋体"/>
                <w:color w:val="auto"/>
                <w:sz w:val="21"/>
                <w:szCs w:val="21"/>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3.10管理服务</w:t>
            </w:r>
          </w:p>
        </w:tc>
        <w:tc>
          <w:tcPr>
            <w:tcW w:w="744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专职管理人员配备情况，研究生权益保障制度建立情况，在学研究生满意度调查情况等。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3.11</w:t>
            </w:r>
            <w:r>
              <w:rPr>
                <w:rFonts w:ascii="宋体" w:hAnsi="宋体"/>
                <w:color w:val="auto"/>
                <w:sz w:val="21"/>
                <w:szCs w:val="21"/>
                <w:highlight w:val="none"/>
              </w:rPr>
              <w:t>就业发展</w:t>
            </w:r>
          </w:p>
        </w:tc>
        <w:tc>
          <w:tcPr>
            <w:tcW w:w="7446"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本学位点毕业研究生的就业率、就业去向</w:t>
            </w:r>
            <w:r>
              <w:rPr>
                <w:rFonts w:hint="eastAsia" w:ascii="宋体" w:hAnsi="宋体"/>
                <w:color w:val="auto"/>
                <w:sz w:val="21"/>
                <w:szCs w:val="21"/>
                <w:highlight w:val="none"/>
                <w:lang w:eastAsia="zh-CN"/>
              </w:rPr>
              <w:t>、签约单位类型和地域分布</w:t>
            </w:r>
            <w:r>
              <w:rPr>
                <w:rFonts w:ascii="宋体" w:hAnsi="宋体"/>
                <w:color w:val="auto"/>
                <w:sz w:val="21"/>
                <w:szCs w:val="21"/>
                <w:highlight w:val="none"/>
              </w:rPr>
              <w:t>分析，用人单位意见反馈和毕业生发展质量调查情况。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4服务贡献</w:t>
            </w: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4.1 科技进步</w:t>
            </w:r>
          </w:p>
        </w:tc>
        <w:tc>
          <w:tcPr>
            <w:tcW w:w="7446"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科研成果转化、促进科技进步情况</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4.2 经济发展</w:t>
            </w:r>
          </w:p>
        </w:tc>
        <w:tc>
          <w:tcPr>
            <w:tcW w:w="7446"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服务国家和地区经济发展情况</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526" w:type="dxa"/>
            <w:vMerge w:val="continue"/>
            <w:vAlign w:val="center"/>
          </w:tcPr>
          <w:p>
            <w:pPr>
              <w:snapToGrid w:val="0"/>
              <w:spacing w:line="320" w:lineRule="exact"/>
              <w:rPr>
                <w:rFonts w:ascii="宋体" w:hAnsi="宋体"/>
                <w:color w:val="auto"/>
                <w:sz w:val="21"/>
                <w:szCs w:val="21"/>
                <w:highlight w:val="none"/>
              </w:rPr>
            </w:pPr>
          </w:p>
        </w:tc>
        <w:tc>
          <w:tcPr>
            <w:tcW w:w="159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4.3 文化建设</w:t>
            </w:r>
          </w:p>
        </w:tc>
        <w:tc>
          <w:tcPr>
            <w:tcW w:w="7446"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繁荣和发展社会主义文化情况</w:t>
            </w:r>
            <w:r>
              <w:rPr>
                <w:rFonts w:hint="eastAsia" w:ascii="宋体" w:hAnsi="宋体"/>
                <w:color w:val="auto"/>
                <w:sz w:val="21"/>
                <w:szCs w:val="21"/>
                <w:highlight w:val="none"/>
                <w:lang w:eastAsia="zh-CN"/>
              </w:rPr>
              <w:t>。</w:t>
            </w:r>
          </w:p>
        </w:tc>
      </w:tr>
    </w:tbl>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ascii="宋体" w:hAnsi="宋体"/>
          <w:sz w:val="21"/>
          <w:szCs w:val="21"/>
          <w:highlight w:val="none"/>
        </w:rPr>
      </w:pPr>
      <w:r>
        <w:rPr>
          <w:rFonts w:hint="eastAsia" w:ascii="宋体" w:hAnsi="宋体"/>
          <w:sz w:val="21"/>
          <w:szCs w:val="21"/>
          <w:highlight w:val="none"/>
        </w:rPr>
        <w:t>注：各学术学位授权点应结合自身特点</w:t>
      </w:r>
      <w:r>
        <w:rPr>
          <w:rFonts w:hint="eastAsia" w:ascii="宋体" w:hAnsi="宋体"/>
          <w:sz w:val="21"/>
          <w:szCs w:val="21"/>
          <w:highlight w:val="none"/>
          <w:lang w:eastAsia="zh-CN"/>
        </w:rPr>
        <w:t>，细化指标主要内容，</w:t>
      </w:r>
      <w:r>
        <w:rPr>
          <w:rFonts w:hint="eastAsia" w:ascii="宋体" w:hAnsi="宋体"/>
          <w:sz w:val="21"/>
          <w:szCs w:val="21"/>
          <w:highlight w:val="none"/>
        </w:rPr>
        <w:t>制定特色的评估指标体系。</w:t>
      </w:r>
    </w:p>
    <w:p>
      <w:pPr>
        <w:spacing w:line="560" w:lineRule="exact"/>
        <w:jc w:val="left"/>
        <w:rPr>
          <w:rFonts w:hint="eastAsia" w:ascii="宋体" w:hAnsi="宋体"/>
          <w:b/>
          <w:sz w:val="24"/>
          <w:szCs w:val="32"/>
          <w:highlight w:val="none"/>
        </w:rPr>
      </w:pPr>
      <w:r>
        <w:rPr>
          <w:rFonts w:hint="eastAsia" w:ascii="宋体" w:hAnsi="宋体"/>
          <w:b/>
          <w:sz w:val="24"/>
          <w:szCs w:val="32"/>
          <w:highlight w:val="none"/>
        </w:rPr>
        <w:t>二、专业学位授权点</w:t>
      </w:r>
    </w:p>
    <w:tbl>
      <w:tblPr>
        <w:tblStyle w:val="4"/>
        <w:tblW w:w="10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516"/>
        <w:gridCol w:w="7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一级要素</w:t>
            </w:r>
          </w:p>
        </w:tc>
        <w:tc>
          <w:tcPr>
            <w:tcW w:w="1516"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二级要素</w:t>
            </w:r>
          </w:p>
        </w:tc>
        <w:tc>
          <w:tcPr>
            <w:tcW w:w="7631" w:type="dxa"/>
            <w:vAlign w:val="center"/>
          </w:tcPr>
          <w:p>
            <w:pPr>
              <w:snapToGrid w:val="0"/>
              <w:spacing w:line="320" w:lineRule="exact"/>
              <w:jc w:val="center"/>
              <w:rPr>
                <w:rFonts w:ascii="宋体" w:hAnsi="宋体"/>
                <w:b/>
                <w:color w:val="auto"/>
                <w:sz w:val="21"/>
                <w:szCs w:val="21"/>
                <w:highlight w:val="none"/>
              </w:rPr>
            </w:pPr>
            <w:r>
              <w:rPr>
                <w:rFonts w:ascii="宋体" w:hAnsi="宋体"/>
                <w:b/>
                <w:color w:val="auto"/>
                <w:sz w:val="21"/>
                <w:szCs w:val="21"/>
                <w:highlight w:val="none"/>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目标与标准</w:t>
            </w: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1</w:t>
            </w:r>
            <w:r>
              <w:rPr>
                <w:rFonts w:ascii="宋体" w:hAnsi="宋体"/>
                <w:color w:val="auto"/>
                <w:sz w:val="21"/>
                <w:szCs w:val="21"/>
                <w:highlight w:val="none"/>
              </w:rPr>
              <w:t>培养目标</w:t>
            </w:r>
          </w:p>
        </w:tc>
        <w:tc>
          <w:tcPr>
            <w:tcW w:w="7631" w:type="dxa"/>
            <w:vAlign w:val="center"/>
          </w:tcPr>
          <w:p>
            <w:pPr>
              <w:snapToGrid w:val="0"/>
              <w:spacing w:line="32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本学位点培养研究生的目标定位</w:t>
            </w:r>
            <w:r>
              <w:rPr>
                <w:rFonts w:hint="eastAsia" w:ascii="宋体" w:hAnsi="宋体"/>
                <w:color w:val="auto"/>
                <w:sz w:val="21"/>
                <w:szCs w:val="21"/>
                <w:highlight w:val="none"/>
                <w:lang w:eastAsia="zh-CN"/>
              </w:rPr>
              <w:t>，与社会需求衔接情况等。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2</w:t>
            </w:r>
            <w:r>
              <w:rPr>
                <w:rFonts w:ascii="宋体" w:hAnsi="宋体"/>
                <w:color w:val="auto"/>
                <w:sz w:val="21"/>
                <w:szCs w:val="21"/>
                <w:highlight w:val="none"/>
              </w:rPr>
              <w:t>学位标准</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符合本专业学位特点，与本单位办学定位及特色相一致的学位授予质量标准的制定及执行情况。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restart"/>
            <w:vAlign w:val="center"/>
          </w:tcPr>
          <w:p>
            <w:pPr>
              <w:snapToGrid w:val="0"/>
              <w:spacing w:line="320" w:lineRule="exact"/>
              <w:rPr>
                <w:rFonts w:ascii="宋体" w:hAnsi="宋体"/>
                <w:color w:val="auto"/>
                <w:sz w:val="21"/>
                <w:szCs w:val="21"/>
                <w:highlight w:val="none"/>
              </w:rPr>
            </w:pPr>
          </w:p>
          <w:p>
            <w:pPr>
              <w:spacing w:line="320" w:lineRule="exact"/>
              <w:rPr>
                <w:rFonts w:ascii="宋体" w:hAnsi="宋体"/>
                <w:color w:val="auto"/>
                <w:sz w:val="21"/>
                <w:szCs w:val="21"/>
                <w:highlight w:val="none"/>
              </w:rPr>
            </w:pPr>
            <w:r>
              <w:rPr>
                <w:rFonts w:hint="eastAsia" w:ascii="宋体" w:hAnsi="宋体"/>
                <w:color w:val="auto"/>
                <w:sz w:val="21"/>
                <w:szCs w:val="21"/>
                <w:highlight w:val="none"/>
              </w:rPr>
              <w:t>2基本条件</w:t>
            </w: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2.1</w:t>
            </w:r>
            <w:r>
              <w:rPr>
                <w:rFonts w:ascii="宋体" w:hAnsi="宋体"/>
                <w:color w:val="auto"/>
                <w:sz w:val="21"/>
                <w:szCs w:val="21"/>
                <w:highlight w:val="none"/>
              </w:rPr>
              <w:t>培养</w:t>
            </w:r>
            <w:r>
              <w:rPr>
                <w:rFonts w:hint="eastAsia" w:ascii="宋体" w:hAnsi="宋体"/>
                <w:color w:val="auto"/>
                <w:sz w:val="21"/>
                <w:szCs w:val="21"/>
                <w:highlight w:val="none"/>
              </w:rPr>
              <w:t>特色</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本学位点的主要培养</w:t>
            </w:r>
            <w:r>
              <w:rPr>
                <w:rFonts w:hint="eastAsia" w:ascii="宋体" w:hAnsi="宋体"/>
                <w:color w:val="auto"/>
                <w:sz w:val="21"/>
                <w:szCs w:val="21"/>
                <w:highlight w:val="none"/>
              </w:rPr>
              <w:t>特色</w:t>
            </w:r>
            <w:r>
              <w:rPr>
                <w:rFonts w:ascii="宋体" w:hAnsi="宋体"/>
                <w:color w:val="auto"/>
                <w:sz w:val="21"/>
                <w:szCs w:val="21"/>
                <w:highlight w:val="none"/>
              </w:rPr>
              <w:t>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2</w:t>
            </w:r>
            <w:r>
              <w:rPr>
                <w:rFonts w:ascii="宋体" w:hAnsi="宋体"/>
                <w:color w:val="auto"/>
                <w:sz w:val="21"/>
                <w:szCs w:val="21"/>
                <w:highlight w:val="none"/>
              </w:rPr>
              <w:t>师资队伍</w:t>
            </w:r>
          </w:p>
        </w:tc>
        <w:tc>
          <w:tcPr>
            <w:tcW w:w="7631"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骨干教师及</w:t>
            </w:r>
            <w:r>
              <w:rPr>
                <w:rFonts w:ascii="宋体" w:hAnsi="宋体"/>
                <w:color w:val="auto"/>
                <w:sz w:val="21"/>
                <w:szCs w:val="21"/>
                <w:highlight w:val="none"/>
              </w:rPr>
              <w:t>师资队伍</w:t>
            </w:r>
            <w:r>
              <w:rPr>
                <w:rFonts w:hint="eastAsia" w:ascii="宋体" w:hAnsi="宋体"/>
                <w:color w:val="auto"/>
                <w:sz w:val="21"/>
                <w:szCs w:val="21"/>
                <w:highlight w:val="none"/>
              </w:rPr>
              <w:t>规模、结构</w:t>
            </w:r>
            <w:r>
              <w:rPr>
                <w:rFonts w:ascii="宋体" w:hAnsi="宋体"/>
                <w:color w:val="auto"/>
                <w:sz w:val="21"/>
                <w:szCs w:val="21"/>
                <w:highlight w:val="none"/>
              </w:rPr>
              <w:t>情况</w:t>
            </w:r>
            <w:r>
              <w:rPr>
                <w:rFonts w:hint="eastAsia" w:ascii="宋体" w:hAnsi="宋体"/>
                <w:color w:val="auto"/>
                <w:sz w:val="21"/>
                <w:szCs w:val="21"/>
                <w:highlight w:val="none"/>
              </w:rPr>
              <w:t>，包括专任教师及行业教师情况。</w:t>
            </w:r>
            <w:r>
              <w:rPr>
                <w:rFonts w:hint="eastAsia" w:ascii="宋体" w:hAnsi="宋体"/>
                <w:color w:val="auto"/>
                <w:sz w:val="21"/>
                <w:szCs w:val="21"/>
                <w:highlight w:val="none"/>
                <w:lang w:eastAsia="zh-CN"/>
              </w:rPr>
              <w:t>教师师风师德建设机制与成效，代表性教师的实践教学能力等。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2.3</w:t>
            </w:r>
            <w:r>
              <w:rPr>
                <w:rFonts w:ascii="宋体" w:hAnsi="宋体"/>
                <w:color w:val="auto"/>
                <w:sz w:val="21"/>
                <w:szCs w:val="21"/>
                <w:highlight w:val="none"/>
              </w:rPr>
              <w:t>科学研究</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w:t>
            </w:r>
            <w:r>
              <w:rPr>
                <w:rFonts w:hint="eastAsia" w:ascii="宋体" w:hAnsi="宋体"/>
                <w:color w:val="auto"/>
                <w:sz w:val="21"/>
                <w:szCs w:val="21"/>
                <w:highlight w:val="none"/>
              </w:rPr>
              <w:t>近5年</w:t>
            </w:r>
            <w:r>
              <w:rPr>
                <w:rFonts w:ascii="宋体" w:hAnsi="宋体"/>
                <w:color w:val="auto"/>
                <w:sz w:val="21"/>
                <w:szCs w:val="21"/>
                <w:highlight w:val="none"/>
              </w:rPr>
              <w:t>已完成的主要</w:t>
            </w:r>
            <w:r>
              <w:rPr>
                <w:rFonts w:hint="eastAsia" w:ascii="宋体" w:hAnsi="宋体"/>
                <w:color w:val="auto"/>
                <w:sz w:val="21"/>
                <w:szCs w:val="21"/>
                <w:highlight w:val="none"/>
              </w:rPr>
              <w:t>应用性</w:t>
            </w:r>
            <w:r>
              <w:rPr>
                <w:rFonts w:ascii="宋体" w:hAnsi="宋体"/>
                <w:color w:val="auto"/>
                <w:sz w:val="21"/>
                <w:szCs w:val="21"/>
                <w:highlight w:val="none"/>
              </w:rPr>
              <w:t>科研</w:t>
            </w:r>
            <w:r>
              <w:rPr>
                <w:rFonts w:hint="eastAsia" w:ascii="宋体" w:hAnsi="宋体"/>
                <w:color w:val="auto"/>
                <w:sz w:val="21"/>
                <w:szCs w:val="21"/>
                <w:highlight w:val="none"/>
              </w:rPr>
              <w:t>成果或科研</w:t>
            </w:r>
            <w:r>
              <w:rPr>
                <w:rFonts w:ascii="宋体" w:hAnsi="宋体"/>
                <w:color w:val="auto"/>
                <w:sz w:val="21"/>
                <w:szCs w:val="21"/>
                <w:highlight w:val="none"/>
              </w:rPr>
              <w:t>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4教学科研</w:t>
            </w:r>
            <w:r>
              <w:rPr>
                <w:rFonts w:ascii="宋体" w:hAnsi="宋体"/>
                <w:color w:val="auto"/>
                <w:sz w:val="21"/>
                <w:szCs w:val="21"/>
                <w:highlight w:val="none"/>
              </w:rPr>
              <w:t>支撑</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本学位点支撑研究生案例教学、实践教学的</w:t>
            </w:r>
            <w:r>
              <w:rPr>
                <w:rFonts w:hint="eastAsia" w:ascii="宋体" w:hAnsi="宋体"/>
                <w:color w:val="auto"/>
                <w:sz w:val="21"/>
                <w:szCs w:val="21"/>
                <w:highlight w:val="none"/>
              </w:rPr>
              <w:t>软</w:t>
            </w:r>
            <w:r>
              <w:rPr>
                <w:rFonts w:ascii="宋体" w:hAnsi="宋体"/>
                <w:color w:val="auto"/>
                <w:sz w:val="21"/>
                <w:szCs w:val="21"/>
                <w:highlight w:val="none"/>
              </w:rPr>
              <w:t>硬件设施</w:t>
            </w:r>
            <w:r>
              <w:rPr>
                <w:rFonts w:hint="eastAsia" w:ascii="宋体" w:hAnsi="宋体"/>
                <w:color w:val="auto"/>
                <w:sz w:val="21"/>
                <w:szCs w:val="21"/>
                <w:highlight w:val="none"/>
              </w:rPr>
              <w:t>，联合培养基地建设情况。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5</w:t>
            </w:r>
            <w:r>
              <w:rPr>
                <w:rFonts w:ascii="宋体" w:hAnsi="宋体"/>
                <w:color w:val="auto"/>
                <w:sz w:val="21"/>
                <w:szCs w:val="21"/>
                <w:highlight w:val="none"/>
              </w:rPr>
              <w:t>奖助体系</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本学位点研究生奖助体系的制度建设、奖助水平、覆盖面等情况。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3人才培养</w:t>
            </w: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.1招生选拔</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学位授权点研究生报考数量、录取比例、录取人数、生源结构情况，</w:t>
            </w:r>
            <w:r>
              <w:rPr>
                <w:rFonts w:hint="eastAsia" w:ascii="宋体" w:hAnsi="宋体"/>
                <w:color w:val="auto"/>
                <w:sz w:val="21"/>
                <w:szCs w:val="21"/>
                <w:highlight w:val="none"/>
              </w:rPr>
              <w:t>符合专业学位特点的招生选拔机制，</w:t>
            </w:r>
            <w:r>
              <w:rPr>
                <w:rFonts w:ascii="宋体" w:hAnsi="宋体"/>
                <w:color w:val="auto"/>
                <w:sz w:val="21"/>
                <w:szCs w:val="21"/>
                <w:highlight w:val="none"/>
              </w:rPr>
              <w:t>以及为保证生源质量采取的措施。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3.2思政教育</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思想政治理论课开设、课程思政、研究生辅导员队伍建设、研究生党建工作</w:t>
            </w:r>
            <w:r>
              <w:rPr>
                <w:rFonts w:hint="eastAsia" w:ascii="宋体" w:hAnsi="宋体"/>
                <w:color w:val="auto"/>
                <w:sz w:val="21"/>
                <w:szCs w:val="21"/>
                <w:highlight w:val="none"/>
                <w:lang w:eastAsia="zh-CN"/>
              </w:rPr>
              <w:t>、社会实践开展、意识形态阵地管理</w:t>
            </w:r>
            <w:r>
              <w:rPr>
                <w:rFonts w:hint="eastAsia" w:ascii="宋体" w:hAnsi="宋体"/>
                <w:color w:val="auto"/>
                <w:sz w:val="21"/>
                <w:szCs w:val="21"/>
                <w:highlight w:val="none"/>
              </w:rPr>
              <w:t>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3</w:t>
            </w:r>
            <w:r>
              <w:rPr>
                <w:rFonts w:ascii="宋体" w:hAnsi="宋体"/>
                <w:color w:val="auto"/>
                <w:sz w:val="21"/>
                <w:szCs w:val="21"/>
                <w:highlight w:val="none"/>
              </w:rPr>
              <w:t>课程教学</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本学位点开设的核心课程及主讲教师。</w:t>
            </w:r>
            <w:r>
              <w:rPr>
                <w:rFonts w:hint="eastAsia" w:ascii="宋体" w:hAnsi="宋体"/>
                <w:color w:val="auto"/>
                <w:sz w:val="21"/>
                <w:szCs w:val="21"/>
                <w:highlight w:val="none"/>
              </w:rPr>
              <w:t>课程</w:t>
            </w:r>
            <w:r>
              <w:rPr>
                <w:rFonts w:hint="eastAsia" w:ascii="宋体" w:hAnsi="宋体"/>
                <w:color w:val="auto"/>
                <w:sz w:val="21"/>
                <w:szCs w:val="21"/>
                <w:highlight w:val="none"/>
                <w:lang w:eastAsia="zh-CN"/>
              </w:rPr>
              <w:t>体系建设、校外资源参与教学、案例教学应用与建设、课程</w:t>
            </w:r>
            <w:r>
              <w:rPr>
                <w:rFonts w:hint="eastAsia" w:ascii="宋体" w:hAnsi="宋体"/>
                <w:color w:val="auto"/>
                <w:sz w:val="21"/>
                <w:szCs w:val="21"/>
                <w:highlight w:val="none"/>
              </w:rPr>
              <w:t>教学质量</w:t>
            </w:r>
            <w:r>
              <w:rPr>
                <w:rFonts w:ascii="宋体" w:hAnsi="宋体"/>
                <w:color w:val="auto"/>
                <w:sz w:val="21"/>
                <w:szCs w:val="21"/>
                <w:highlight w:val="none"/>
              </w:rPr>
              <w:t>和持续改进机制</w:t>
            </w:r>
            <w:r>
              <w:rPr>
                <w:rFonts w:hint="eastAsia" w:ascii="宋体" w:hAnsi="宋体"/>
                <w:color w:val="auto"/>
                <w:sz w:val="21"/>
                <w:szCs w:val="21"/>
                <w:highlight w:val="none"/>
              </w:rPr>
              <w:t>，教材建设</w:t>
            </w:r>
            <w:r>
              <w:rPr>
                <w:rFonts w:hint="eastAsia" w:ascii="宋体" w:hAnsi="宋体"/>
                <w:color w:val="auto"/>
                <w:sz w:val="21"/>
                <w:szCs w:val="21"/>
                <w:highlight w:val="none"/>
                <w:lang w:eastAsia="zh-CN"/>
              </w:rPr>
              <w:t>及代表性教材质量</w:t>
            </w:r>
            <w:r>
              <w:rPr>
                <w:rFonts w:hint="eastAsia" w:ascii="宋体" w:hAnsi="宋体"/>
                <w:color w:val="auto"/>
                <w:sz w:val="21"/>
                <w:szCs w:val="21"/>
                <w:highlight w:val="none"/>
              </w:rPr>
              <w:t>情况</w:t>
            </w:r>
            <w:r>
              <w:rPr>
                <w:rFonts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4</w:t>
            </w:r>
            <w:r>
              <w:rPr>
                <w:rFonts w:ascii="宋体" w:hAnsi="宋体"/>
                <w:color w:val="auto"/>
                <w:sz w:val="21"/>
                <w:szCs w:val="21"/>
                <w:highlight w:val="none"/>
              </w:rPr>
              <w:t>导师指导</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导师队伍的选聘、培训、考核情况</w:t>
            </w:r>
            <w:r>
              <w:rPr>
                <w:rFonts w:hint="eastAsia" w:ascii="宋体" w:hAnsi="宋体"/>
                <w:color w:val="auto"/>
                <w:sz w:val="21"/>
                <w:szCs w:val="21"/>
                <w:highlight w:val="none"/>
              </w:rPr>
              <w:t>，</w:t>
            </w:r>
            <w:r>
              <w:rPr>
                <w:rFonts w:ascii="宋体" w:hAnsi="宋体"/>
                <w:color w:val="auto"/>
                <w:sz w:val="21"/>
                <w:szCs w:val="21"/>
                <w:highlight w:val="none"/>
              </w:rPr>
              <w:t>行业产业导师选聘，研究生双导师制情况。导师指导研究生制度要求和执行情况</w:t>
            </w:r>
            <w:r>
              <w:rPr>
                <w:rFonts w:hint="eastAsia" w:ascii="宋体" w:hAnsi="宋体"/>
                <w:color w:val="auto"/>
                <w:sz w:val="21"/>
                <w:szCs w:val="21"/>
                <w:highlight w:val="none"/>
              </w:rPr>
              <w:t>，</w:t>
            </w:r>
            <w:r>
              <w:rPr>
                <w:rFonts w:ascii="宋体" w:hAnsi="宋体"/>
                <w:color w:val="auto"/>
                <w:sz w:val="21"/>
                <w:szCs w:val="21"/>
                <w:highlight w:val="none"/>
              </w:rPr>
              <w:t>博士生导师岗位管理制度建设和落实情况。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5</w:t>
            </w:r>
            <w:r>
              <w:rPr>
                <w:rFonts w:ascii="宋体" w:hAnsi="宋体"/>
                <w:color w:val="auto"/>
                <w:sz w:val="21"/>
                <w:szCs w:val="21"/>
                <w:highlight w:val="none"/>
              </w:rPr>
              <w:t>实践教学</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专业学位研究生参与实践教学</w:t>
            </w:r>
            <w:r>
              <w:rPr>
                <w:rFonts w:hint="eastAsia" w:ascii="宋体" w:hAnsi="宋体"/>
                <w:color w:val="auto"/>
                <w:sz w:val="21"/>
                <w:szCs w:val="21"/>
                <w:highlight w:val="none"/>
              </w:rPr>
              <w:t>，产教融合培养研究生成效</w:t>
            </w:r>
            <w:r>
              <w:rPr>
                <w:rFonts w:ascii="宋体" w:hAnsi="宋体"/>
                <w:color w:val="auto"/>
                <w:sz w:val="21"/>
                <w:szCs w:val="21"/>
                <w:highlight w:val="none"/>
              </w:rPr>
              <w:t>，包括制度保证、经费支持</w:t>
            </w:r>
            <w:r>
              <w:rPr>
                <w:rFonts w:hint="eastAsia" w:ascii="宋体" w:hAnsi="宋体"/>
                <w:color w:val="auto"/>
                <w:sz w:val="21"/>
                <w:szCs w:val="21"/>
                <w:highlight w:val="none"/>
              </w:rPr>
              <w:t>，行业企业参与人才培养情况等。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6</w:t>
            </w:r>
            <w:r>
              <w:rPr>
                <w:rFonts w:ascii="宋体" w:hAnsi="宋体"/>
                <w:color w:val="auto"/>
                <w:sz w:val="21"/>
                <w:szCs w:val="21"/>
                <w:highlight w:val="none"/>
              </w:rPr>
              <w:t>学术交流</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研究生参与国际国内学术交流</w:t>
            </w:r>
            <w:r>
              <w:rPr>
                <w:rFonts w:hint="eastAsia" w:ascii="宋体" w:hAnsi="宋体"/>
                <w:color w:val="auto"/>
                <w:sz w:val="21"/>
                <w:szCs w:val="21"/>
                <w:highlight w:val="none"/>
                <w:lang w:eastAsia="zh-CN"/>
              </w:rPr>
              <w:t>、实践交流</w:t>
            </w:r>
            <w:r>
              <w:rPr>
                <w:rFonts w:ascii="宋体" w:hAnsi="宋体"/>
                <w:color w:val="auto"/>
                <w:sz w:val="21"/>
                <w:szCs w:val="21"/>
                <w:highlight w:val="none"/>
              </w:rPr>
              <w:t>的基本情况。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3.7论文质量</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体现本专业学位特点的学位论文类型（如调研报告、规划设计、产品开发、案例分析、项目管理、艺术作品等）规范、评阅规则和核查办法的制定及执行情况，强化专业学位论文应用导向的情况。本学位点学位论文在各类论文抽检、评审中的情况和论文质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3.8质量保证</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培养全过程监控与质量保证、学位论文和学位授予管理、强化指导教师质量管控责任、分流淘汰机制等情况</w:t>
            </w:r>
            <w:r>
              <w:rPr>
                <w:rFonts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9</w:t>
            </w:r>
            <w:r>
              <w:rPr>
                <w:rFonts w:ascii="宋体" w:hAnsi="宋体"/>
                <w:color w:val="auto"/>
                <w:sz w:val="21"/>
                <w:szCs w:val="21"/>
                <w:highlight w:val="none"/>
              </w:rPr>
              <w:t>学风</w:t>
            </w:r>
            <w:r>
              <w:rPr>
                <w:rFonts w:hint="eastAsia" w:ascii="宋体" w:hAnsi="宋体"/>
                <w:color w:val="auto"/>
                <w:sz w:val="21"/>
                <w:szCs w:val="21"/>
                <w:highlight w:val="none"/>
              </w:rPr>
              <w:t>建设</w:t>
            </w:r>
          </w:p>
        </w:tc>
        <w:tc>
          <w:tcPr>
            <w:tcW w:w="7631" w:type="dxa"/>
            <w:vAlign w:val="center"/>
          </w:tcPr>
          <w:p>
            <w:pPr>
              <w:snapToGrid w:val="0"/>
              <w:spacing w:line="320" w:lineRule="exact"/>
              <w:rPr>
                <w:rFonts w:ascii="宋体" w:hAnsi="宋体"/>
                <w:color w:val="auto"/>
                <w:sz w:val="21"/>
                <w:szCs w:val="21"/>
                <w:highlight w:val="none"/>
              </w:rPr>
            </w:pPr>
            <w:r>
              <w:rPr>
                <w:rFonts w:ascii="宋体" w:hAnsi="宋体"/>
                <w:color w:val="auto"/>
                <w:sz w:val="21"/>
                <w:szCs w:val="21"/>
                <w:highlight w:val="none"/>
              </w:rPr>
              <w:t>本学位点科学道德</w:t>
            </w:r>
            <w:r>
              <w:rPr>
                <w:rFonts w:hint="eastAsia" w:ascii="宋体" w:hAnsi="宋体"/>
                <w:color w:val="auto"/>
                <w:sz w:val="21"/>
                <w:szCs w:val="21"/>
                <w:highlight w:val="none"/>
                <w:lang w:eastAsia="zh-CN"/>
              </w:rPr>
              <w:t>、</w:t>
            </w:r>
            <w:r>
              <w:rPr>
                <w:rFonts w:ascii="宋体" w:hAnsi="宋体"/>
                <w:color w:val="auto"/>
                <w:sz w:val="21"/>
                <w:szCs w:val="21"/>
                <w:highlight w:val="none"/>
              </w:rPr>
              <w:t>学术规范教育</w:t>
            </w:r>
            <w:r>
              <w:rPr>
                <w:rFonts w:hint="eastAsia" w:ascii="宋体" w:hAnsi="宋体"/>
                <w:color w:val="auto"/>
                <w:sz w:val="21"/>
                <w:szCs w:val="21"/>
                <w:highlight w:val="none"/>
                <w:lang w:eastAsia="zh-CN"/>
              </w:rPr>
              <w:t>、职业道德、工程伦理等</w:t>
            </w:r>
            <w:r>
              <w:rPr>
                <w:rFonts w:hint="eastAsia" w:ascii="宋体" w:hAnsi="宋体"/>
                <w:color w:val="auto"/>
                <w:sz w:val="21"/>
                <w:szCs w:val="21"/>
                <w:highlight w:val="none"/>
              </w:rPr>
              <w:t>开展</w:t>
            </w:r>
            <w:r>
              <w:rPr>
                <w:rFonts w:ascii="宋体" w:hAnsi="宋体"/>
                <w:color w:val="auto"/>
                <w:sz w:val="21"/>
                <w:szCs w:val="21"/>
                <w:highlight w:val="none"/>
              </w:rPr>
              <w:t>情况，学术不端行为</w:t>
            </w:r>
            <w:r>
              <w:rPr>
                <w:rFonts w:hint="eastAsia" w:ascii="宋体" w:hAnsi="宋体"/>
                <w:color w:val="auto"/>
                <w:sz w:val="21"/>
                <w:szCs w:val="21"/>
                <w:highlight w:val="none"/>
              </w:rPr>
              <w:t>处理</w:t>
            </w:r>
            <w:r>
              <w:rPr>
                <w:rFonts w:ascii="宋体" w:hAnsi="宋体"/>
                <w:color w:val="auto"/>
                <w:sz w:val="21"/>
                <w:szCs w:val="21"/>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3.10管理服务</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专职管理人员配备，研究生权益保障制度，在学研究生满意度调查情况等。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3.11</w:t>
            </w:r>
            <w:r>
              <w:rPr>
                <w:rFonts w:ascii="宋体" w:hAnsi="宋体"/>
                <w:color w:val="auto"/>
                <w:sz w:val="21"/>
                <w:szCs w:val="21"/>
                <w:highlight w:val="none"/>
              </w:rPr>
              <w:t>就业发展</w:t>
            </w:r>
          </w:p>
        </w:tc>
        <w:tc>
          <w:tcPr>
            <w:tcW w:w="7631"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本学位点人才</w:t>
            </w:r>
            <w:r>
              <w:rPr>
                <w:rFonts w:ascii="宋体" w:hAnsi="宋体"/>
                <w:color w:val="auto"/>
                <w:sz w:val="21"/>
                <w:szCs w:val="21"/>
                <w:highlight w:val="none"/>
              </w:rPr>
              <w:t>需求与就业动态反馈机制建立</w:t>
            </w:r>
            <w:r>
              <w:rPr>
                <w:rFonts w:hint="eastAsia" w:ascii="宋体" w:hAnsi="宋体"/>
                <w:color w:val="auto"/>
                <w:sz w:val="21"/>
                <w:szCs w:val="21"/>
                <w:highlight w:val="none"/>
              </w:rPr>
              <w:t>情况</w:t>
            </w:r>
            <w:r>
              <w:rPr>
                <w:rFonts w:ascii="宋体" w:hAnsi="宋体"/>
                <w:color w:val="auto"/>
                <w:sz w:val="21"/>
                <w:szCs w:val="21"/>
                <w:highlight w:val="none"/>
              </w:rPr>
              <w:t>，人才需求和就业状况报告发布</w:t>
            </w:r>
            <w:r>
              <w:rPr>
                <w:rFonts w:hint="eastAsia" w:ascii="宋体" w:hAnsi="宋体"/>
                <w:color w:val="auto"/>
                <w:sz w:val="21"/>
                <w:szCs w:val="21"/>
                <w:highlight w:val="none"/>
              </w:rPr>
              <w:t>情况，</w:t>
            </w:r>
            <w:r>
              <w:rPr>
                <w:rFonts w:ascii="宋体" w:hAnsi="宋体"/>
                <w:color w:val="auto"/>
                <w:sz w:val="21"/>
                <w:szCs w:val="21"/>
                <w:highlight w:val="none"/>
              </w:rPr>
              <w:t>用人单位意见反馈和毕业生发展质量调查情况</w:t>
            </w:r>
            <w:r>
              <w:rPr>
                <w:rFonts w:hint="eastAsia" w:ascii="宋体" w:hAnsi="宋体"/>
                <w:color w:val="auto"/>
                <w:sz w:val="21"/>
                <w:szCs w:val="21"/>
                <w:highlight w:val="none"/>
                <w:lang w:eastAsia="zh-CN"/>
              </w:rPr>
              <w:t>，服务贡献和社会声誉情况</w:t>
            </w:r>
            <w:r>
              <w:rPr>
                <w:rFonts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restart"/>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4服务贡献</w:t>
            </w: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4.1 科技进步</w:t>
            </w:r>
          </w:p>
        </w:tc>
        <w:tc>
          <w:tcPr>
            <w:tcW w:w="7631"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科研成果转化、促进科技进步情况</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4.2 经济发展</w:t>
            </w:r>
          </w:p>
        </w:tc>
        <w:tc>
          <w:tcPr>
            <w:tcW w:w="7631"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服务国家和地区经济发展情况</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1413" w:type="dxa"/>
            <w:vMerge w:val="continue"/>
            <w:vAlign w:val="center"/>
          </w:tcPr>
          <w:p>
            <w:pPr>
              <w:snapToGrid w:val="0"/>
              <w:spacing w:line="320" w:lineRule="exact"/>
              <w:rPr>
                <w:rFonts w:ascii="宋体" w:hAnsi="宋体"/>
                <w:color w:val="auto"/>
                <w:sz w:val="21"/>
                <w:szCs w:val="21"/>
                <w:highlight w:val="none"/>
              </w:rPr>
            </w:pPr>
          </w:p>
        </w:tc>
        <w:tc>
          <w:tcPr>
            <w:tcW w:w="1516" w:type="dxa"/>
            <w:vAlign w:val="center"/>
          </w:tcPr>
          <w:p>
            <w:pPr>
              <w:snapToGrid w:val="0"/>
              <w:spacing w:line="320" w:lineRule="exact"/>
              <w:rPr>
                <w:rFonts w:ascii="宋体" w:hAnsi="宋体"/>
                <w:color w:val="auto"/>
                <w:sz w:val="21"/>
                <w:szCs w:val="21"/>
                <w:highlight w:val="none"/>
              </w:rPr>
            </w:pPr>
            <w:r>
              <w:rPr>
                <w:rFonts w:hint="eastAsia" w:ascii="宋体" w:hAnsi="宋体"/>
                <w:color w:val="auto"/>
                <w:sz w:val="21"/>
                <w:szCs w:val="21"/>
                <w:highlight w:val="none"/>
              </w:rPr>
              <w:t>4.3 文化建设</w:t>
            </w:r>
          </w:p>
        </w:tc>
        <w:tc>
          <w:tcPr>
            <w:tcW w:w="7631" w:type="dxa"/>
            <w:vAlign w:val="center"/>
          </w:tcPr>
          <w:p>
            <w:pPr>
              <w:snapToGrid w:val="0"/>
              <w:spacing w:line="3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繁荣和发展社会主义文化情况</w:t>
            </w:r>
            <w:r>
              <w:rPr>
                <w:rFonts w:hint="eastAsia" w:ascii="宋体" w:hAnsi="宋体"/>
                <w:color w:val="auto"/>
                <w:sz w:val="21"/>
                <w:szCs w:val="21"/>
                <w:highlight w:val="none"/>
                <w:lang w:eastAsia="zh-CN"/>
              </w:rPr>
              <w:t>。</w:t>
            </w:r>
          </w:p>
        </w:tc>
      </w:tr>
    </w:tbl>
    <w:p>
      <w:pPr>
        <w:spacing w:line="560" w:lineRule="exact"/>
        <w:jc w:val="left"/>
      </w:pPr>
      <w:r>
        <w:rPr>
          <w:rFonts w:hint="eastAsia" w:ascii="宋体" w:hAnsi="宋体"/>
          <w:sz w:val="21"/>
          <w:szCs w:val="21"/>
          <w:highlight w:val="none"/>
        </w:rPr>
        <w:t>注：各专业学位授权点应结合自身特点</w:t>
      </w:r>
      <w:r>
        <w:rPr>
          <w:rFonts w:hint="eastAsia" w:ascii="宋体" w:hAnsi="宋体"/>
          <w:sz w:val="21"/>
          <w:szCs w:val="21"/>
          <w:highlight w:val="none"/>
          <w:lang w:eastAsia="zh-CN"/>
        </w:rPr>
        <w:t>，细化指标主要内容，</w:t>
      </w:r>
      <w:r>
        <w:rPr>
          <w:rFonts w:hint="eastAsia" w:ascii="宋体" w:hAnsi="宋体"/>
          <w:sz w:val="21"/>
          <w:szCs w:val="21"/>
          <w:highlight w:val="none"/>
        </w:rPr>
        <w:t>制定特色的评估指标体系。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15FC9"/>
    <w:multiLevelType w:val="singleLevel"/>
    <w:tmpl w:val="4AE15FC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476D3"/>
    <w:rsid w:val="0C3476D3"/>
    <w:rsid w:val="1BEE2CCB"/>
    <w:rsid w:val="1C5374B4"/>
    <w:rsid w:val="367A1B2B"/>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40" w:firstLineChars="200"/>
    </w:pPr>
    <w:rPr>
      <w:rFonts w:ascii="仿宋_GB2312"/>
      <w:kern w:val="0"/>
      <w:szCs w:val="32"/>
    </w:rPr>
  </w:style>
  <w:style w:type="paragraph" w:styleId="3">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ncy\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5</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2021-04-27T01:57:00Z</dcterms:created>
  <dc:creator>诗香袭人</dc:creator>
  <cp:lastModifiedBy>邱妍</cp:lastModifiedBy>
  <dcterms:modified xsi:type="dcterms:W3CDTF">2021-05-07T06:54:42Z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09151B964D5949389112812097059260</vt:lpwstr>
  </property>
</Properties>
</file>